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4c5b89f4dc8d50cc8a9f127aba4cd60c246b35"/>
      <w:r>
        <w:t xml:space="preserve">Queja ante la Defensoría de la Infancia y Adolescencia de Andalucía</w:t>
      </w:r>
      <w:bookmarkEnd w:id="20"/>
    </w:p>
    <w:p>
      <w:pPr>
        <w:pStyle w:val="FirstParagraph"/>
      </w:pPr>
      <w:r>
        <w:rPr>
          <w:b/>
        </w:rPr>
        <w:t xml:space="preserve">Qué es.</w:t>
      </w:r>
      <w:r>
        <w:t xml:space="preserve"> </w:t>
      </w:r>
      <w:r>
        <w:t xml:space="preserve">Una queja ante el defensor del menor. Es</w:t>
      </w:r>
      <w:r>
        <w:t xml:space="preserve"> </w:t>
      </w:r>
      <w:r>
        <w:rPr>
          <w:b/>
        </w:rPr>
        <w:t xml:space="preserve">gratuita, sin abogado y sin plazo de caducidad</w:t>
      </w:r>
      <w:r>
        <w:t xml:space="preserve">, y es la que mejor relación esfuerzo-resultado tiene de todas.</w:t>
      </w:r>
    </w:p>
    <w:p>
      <w:pPr>
        <w:pStyle w:val="BodyText"/>
      </w:pPr>
      <w:r>
        <w:rPr>
          <w:b/>
        </w:rPr>
        <w:t xml:space="preserve">Qué consigue.</w:t>
      </w:r>
      <w:r>
        <w:t xml:space="preserve"> </w:t>
      </w:r>
      <w:r>
        <w:t xml:space="preserve">La Defensoría pide informe al centro y a la Administración, y ambos están obligados a colaborar. Tiene actuaciones ya abiertas sobre esta misma materia y precedentes de haber logrado la asignación efectiva del recurso en casos individuales (quejas 20/6809, 21/8805, 23/3037 y 23/7185).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el formulario de su web: https://www.defensordelmenordeandalucia.es/presenta-tu-queja</w:t>
      </w:r>
    </w:p>
    <w:p>
      <w:pPr>
        <w:pStyle w:val="BodyText"/>
      </w:pPr>
      <w:r>
        <w:rPr>
          <w:b/>
        </w:rPr>
        <w:t xml:space="preserve">Cuándo.</w:t>
      </w:r>
      <w:r>
        <w:t xml:space="preserve"> </w:t>
      </w:r>
      <w:r>
        <w:t xml:space="preserve">Si a los diez o quince días de presentar los escritos anteriores no hay ningún movimiento.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 LA DEFENSORÍA DE LA INFANCIA Y ADOLESCENCIA DE ANDALUCÍA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Queja por falta de provisión de apoyos educativos a alumno con necesidades</w:t>
      </w:r>
      <w:r>
        <w:t xml:space="preserve"> </w:t>
      </w:r>
      <w:r>
        <w:t xml:space="preserve">específicas de apoyo educativo escolarizado en centro sostenido con fondos públicos.</w:t>
      </w:r>
    </w:p>
    <w:p>
      <w:pPr>
        <w:pStyle w:val="BodyText"/>
      </w:pPr>
      <w:r>
        <w:rPr>
          <w:b/>
        </w:rPr>
        <w:t xml:space="preserve">Datos de la persona promotora: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, DNI</w:t>
      </w:r>
      <w:r>
        <w:t xml:space="preserve"> </w:t>
      </w:r>
      <w:r>
        <w:rPr>
          <w:rStyle w:val="VerbatimChar"/>
        </w:rPr>
        <w:t xml:space="preserve">[DNI]</w:t>
      </w:r>
      <w:r>
        <w:t xml:space="preserve">, domicilio</w:t>
      </w:r>
      <w:r>
        <w:t xml:space="preserve"> </w:t>
      </w:r>
      <w:r>
        <w:rPr>
          <w:rStyle w:val="VerbatimChar"/>
        </w:rPr>
        <w:t xml:space="preserve">[DOMICILIO]</w:t>
      </w:r>
      <w:r>
        <w:t xml:space="preserve">,</w:t>
      </w:r>
      <w:r>
        <w:t xml:space="preserve"> </w:t>
      </w:r>
      <w:r>
        <w:t xml:space="preserve">teléfono</w:t>
      </w:r>
      <w:r>
        <w:t xml:space="preserve"> </w:t>
      </w:r>
      <w:r>
        <w:rPr>
          <w:rStyle w:val="VerbatimChar"/>
        </w:rPr>
        <w:t xml:space="preserve">[TELÉFONO]</w:t>
      </w:r>
      <w:r>
        <w:t xml:space="preserve">, correo electrónico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.</w:t>
      </w:r>
      <w:r>
        <w:t xml:space="preserve"> </w:t>
      </w:r>
      <w:r>
        <w:rPr>
          <w:b/>
        </w:rPr>
        <w:t xml:space="preserve">Menor afectado:</w:t>
      </w:r>
      <w:r>
        <w:t xml:space="preserve"> </w:t>
      </w:r>
      <w:r>
        <w:rPr>
          <w:rStyle w:val="VerbatimChar"/>
        </w:rPr>
        <w:t xml:space="preserve">[NOMBRE DEL ALUMNO]</w:t>
      </w:r>
      <w:r>
        <w:t xml:space="preserve">,</w:t>
      </w:r>
      <w:r>
        <w:t xml:space="preserve"> </w:t>
      </w:r>
      <w:r>
        <w:rPr>
          <w:rStyle w:val="VerbatimChar"/>
        </w:rPr>
        <w:t xml:space="preserve">[EDAD]</w:t>
      </w:r>
      <w:r>
        <w:t xml:space="preserve"> </w:t>
      </w:r>
      <w:r>
        <w:t xml:space="preserve">años, escolarizado en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 </w:t>
      </w:r>
      <w:r>
        <w:t xml:space="preserve">del</w:t>
      </w:r>
      <w:r>
        <w:t xml:space="preserve"> </w:t>
      </w:r>
      <w:r>
        <w:rPr>
          <w:rStyle w:val="VerbatimChar"/>
        </w:rPr>
        <w:t xml:space="preserve">[NOMBRE DEL CENTRO]</w:t>
      </w:r>
      <w:r>
        <w:t xml:space="preserve">, código</w:t>
      </w:r>
      <w:r>
        <w:t xml:space="preserve"> </w:t>
      </w:r>
      <w:r>
        <w:rPr>
          <w:rStyle w:val="VerbatimChar"/>
        </w:rPr>
        <w:t xml:space="preserve">[CÓDIGO DE CENTRO]</w:t>
      </w:r>
      <w:r>
        <w:t xml:space="preserve">, de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.</w:t>
      </w:r>
      <w:r>
        <w:t xml:space="preserve"> </w:t>
      </w:r>
      <w:r>
        <w:rPr>
          <w:b/>
        </w:rPr>
        <w:t xml:space="preserve">Administración afectada:</w:t>
      </w:r>
      <w:r>
        <w:t xml:space="preserve"> </w:t>
      </w:r>
      <w:r>
        <w:t xml:space="preserve">Consejería competente en materia de educación de la Junta de</w:t>
      </w:r>
      <w:r>
        <w:t xml:space="preserve"> </w:t>
      </w:r>
      <w:r>
        <w:t xml:space="preserve">Andalucía · Delegación Territorial de</w:t>
      </w:r>
      <w:r>
        <w:t xml:space="preserve"> </w:t>
      </w:r>
      <w:r>
        <w:rPr>
          <w:rStyle w:val="VerbatimChar"/>
        </w:rPr>
        <w:t xml:space="preserve">[PROVINCIA]</w:t>
      </w:r>
      <w:r>
        <w:t xml:space="preserve">.</w:t>
      </w:r>
    </w:p>
    <w:p>
      <w:pPr>
        <w:pStyle w:val="Heading3"/>
      </w:pPr>
      <w:bookmarkStart w:id="21" w:name="hechos"/>
      <w:r>
        <w:t xml:space="preserve">HECHOS</w:t>
      </w:r>
      <w:bookmarkEnd w:id="21"/>
    </w:p>
    <w:p>
      <w:pPr>
        <w:pStyle w:val="FirstParagraph"/>
      </w:pPr>
      <w:r>
        <w:rPr>
          <w:b/>
        </w:rPr>
        <w:t xml:space="preserve">Primero.</w:t>
      </w:r>
      <w:r>
        <w:t xml:space="preserve"> </w:t>
      </w:r>
      <w:r>
        <w:t xml:space="preserve">El menor tiene reconocidas</w:t>
      </w:r>
      <w:r>
        <w:t xml:space="preserve"> </w:t>
      </w:r>
      <w:r>
        <w:rPr>
          <w:b/>
        </w:rPr>
        <w:t xml:space="preserve">necesidades educativas especiales</w:t>
      </w:r>
      <w:r>
        <w:t xml:space="preserve"> </w:t>
      </w:r>
      <w:r>
        <w:t xml:space="preserve">mediante</w:t>
      </w:r>
      <w:r>
        <w:t xml:space="preserve"> </w:t>
      </w:r>
      <w:r>
        <w:rPr>
          <w:b/>
        </w:rPr>
        <w:t xml:space="preserve">dictamen de escolarización emitido por el Equipo de Orientación Educativa de la propia Administración</w:t>
      </w:r>
      <w:r>
        <w:t xml:space="preserve">, consistentes</w:t>
      </w:r>
      <w:r>
        <w:t xml:space="preserve"> </w:t>
      </w:r>
      <w:r>
        <w:t xml:space="preserve">en</w:t>
      </w:r>
      <w:r>
        <w:t xml:space="preserve"> </w:t>
      </w:r>
      <w:r>
        <w:rPr>
          <w:rStyle w:val="VerbatimChar"/>
        </w:rPr>
        <w:t xml:space="preserve">[DESCRIPCIÓN]</w:t>
      </w:r>
      <w:r>
        <w:t xml:space="preserve">, acreditadas mediante</w:t>
      </w:r>
      <w:r>
        <w:t xml:space="preserve"> </w:t>
      </w:r>
      <w:r>
        <w:rPr>
          <w:rStyle w:val="VerbatimChar"/>
        </w:rPr>
        <w:t xml:space="preserve">[INFORME Y FECHA]</w:t>
      </w:r>
      <w:r>
        <w:t xml:space="preserve">, en el que se consignan, entre otros,</w:t>
      </w:r>
      <w:r>
        <w:t xml:space="preserve"> </w:t>
      </w:r>
      <w:r>
        <w:t xml:space="preserve">los siguientes resultados objetivos:</w:t>
      </w:r>
      <w:r>
        <w:t xml:space="preserve"> </w:t>
      </w:r>
      <w:r>
        <w:rPr>
          <w:rStyle w:val="VerbatimChar"/>
        </w:rPr>
        <w:t xml:space="preserve">[RESULTADOS OBJETIVOS RELEVANTES]</w:t>
      </w:r>
      <w:r>
        <w:t xml:space="preserve">. Tiene en vigor</w:t>
      </w:r>
      <w:r>
        <w:t xml:space="preserve"> </w:t>
      </w:r>
      <w:r>
        <w:rPr>
          <w:rStyle w:val="VerbatimChar"/>
        </w:rPr>
        <w:t xml:space="preserve">[ADAPTACIÓN CURRICULAR]</w:t>
      </w:r>
      <w:r>
        <w:t xml:space="preserve">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Hasta el curso</w:t>
      </w:r>
      <w:r>
        <w:t xml:space="preserve"> </w:t>
      </w:r>
      <w:r>
        <w:rPr>
          <w:rStyle w:val="VerbatimChar"/>
        </w:rPr>
        <w:t xml:space="preserve">[CURSO ANTERIOR]</w:t>
      </w:r>
      <w:r>
        <w:t xml:space="preserve"> </w:t>
      </w:r>
      <w:r>
        <w:t xml:space="preserve">venía recibiendo apoyo individual dentro del aula,</w:t>
      </w:r>
      <w:r>
        <w:t xml:space="preserve"> </w:t>
      </w:r>
      <w:r>
        <w:t xml:space="preserve">prestado a través de</w:t>
      </w:r>
      <w:r>
        <w:t xml:space="preserve"> </w:t>
      </w:r>
      <w:r>
        <w:rPr>
          <w:rStyle w:val="VerbatimChar"/>
        </w:rPr>
        <w:t xml:space="preserve">[ENTIDAD / MODALIDAD]</w:t>
      </w:r>
      <w:r>
        <w:t xml:space="preserve"> </w:t>
      </w:r>
      <w:r>
        <w:t xml:space="preserve">y</w:t>
      </w:r>
      <w:r>
        <w:t xml:space="preserve"> </w:t>
      </w:r>
      <w:r>
        <w:rPr>
          <w:b/>
        </w:rPr>
        <w:t xml:space="preserve">sufragado íntegramente por la familia</w:t>
      </w:r>
      <w:r>
        <w:t xml:space="preserve">, por</w:t>
      </w:r>
      <w:r>
        <w:t xml:space="preserve"> </w:t>
      </w:r>
      <w:r>
        <w:t xml:space="preserve">importe de</w:t>
      </w:r>
      <w:r>
        <w:t xml:space="preserve"> </w:t>
      </w:r>
      <w:r>
        <w:rPr>
          <w:rStyle w:val="VerbatimChar"/>
        </w:rPr>
        <w:t xml:space="preserve">[IMPORTE]</w:t>
      </w:r>
      <w:r>
        <w:t xml:space="preserve"> </w:t>
      </w:r>
      <w:r>
        <w:t xml:space="preserve">euros mensuales durante</w:t>
      </w:r>
      <w:r>
        <w:t xml:space="preserve"> </w:t>
      </w:r>
      <w:r>
        <w:rPr>
          <w:rStyle w:val="VerbatimChar"/>
        </w:rPr>
        <w:t xml:space="preserve">[Nº]</w:t>
      </w:r>
      <w:r>
        <w:t xml:space="preserve"> </w:t>
      </w:r>
      <w:r>
        <w:t xml:space="preserve">mensualidades anuales.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La continuidad de dicho apoyo para el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 </w:t>
      </w:r>
      <w:r>
        <w:t xml:space="preserve">fue</w:t>
      </w:r>
      <w:r>
        <w:t xml:space="preserve"> </w:t>
      </w:r>
      <w:r>
        <w:rPr>
          <w:b/>
        </w:rPr>
        <w:t xml:space="preserve">comunicada por</w:t>
      </w:r>
      <w:r>
        <w:rPr>
          <w:b/>
        </w:rPr>
        <w:t xml:space="preserve"> </w:t>
      </w:r>
      <w:r>
        <w:rPr>
          <w:b/>
        </w:rPr>
        <w:t xml:space="preserve">escrito a la familia</w:t>
      </w:r>
      <w:r>
        <w:t xml:space="preserve"> </w:t>
      </w:r>
      <w:r>
        <w:t xml:space="preserve">mediante</w:t>
      </w:r>
      <w:r>
        <w:t xml:space="preserve"> </w:t>
      </w:r>
      <w:r>
        <w:rPr>
          <w:rStyle w:val="VerbatimChar"/>
        </w:rPr>
        <w:t xml:space="preserve">[DOCUMENTO DE CONTINUIDAD Y FECHA]</w:t>
      </w:r>
      <w:r>
        <w:t xml:space="preserve">, en el que se indicaba incluso el</w:t>
      </w:r>
      <w:r>
        <w:t xml:space="preserve"> </w:t>
      </w:r>
      <w:r>
        <w:t xml:space="preserve">procedimiento posterior de incorporación en el centro.</w:t>
      </w:r>
    </w:p>
    <w:p>
      <w:pPr>
        <w:pStyle w:val="BodyText"/>
      </w:pPr>
      <w:r>
        <w:rPr>
          <w:b/>
        </w:rPr>
        <w:t xml:space="preserve">Cuarto.</w:t>
      </w:r>
      <w:r>
        <w:t xml:space="preserve"> </w:t>
      </w:r>
      <w:r>
        <w:t xml:space="preserve">El dictamen propone expresamente</w:t>
      </w:r>
      <w:r>
        <w:t xml:space="preserve"> </w:t>
      </w:r>
      <w:r>
        <w:rPr>
          <w:b/>
        </w:rPr>
        <w:t xml:space="preserve">profesorado especialista en Pedagogía Terapéutica</w:t>
      </w:r>
      <w:r>
        <w:t xml:space="preserve"> </w:t>
      </w:r>
      <w:r>
        <w:t xml:space="preserve">y la modalidad de</w:t>
      </w:r>
      <w:r>
        <w:t xml:space="preserve"> </w:t>
      </w:r>
      <w:r>
        <w:rPr>
          <w:b/>
        </w:rPr>
        <w:t xml:space="preserve">grupo ordinario con apoyos en periodos variables</w:t>
      </w:r>
      <w:r>
        <w:t xml:space="preserve">, sin que a esta parte se le haya comunicado el número de horas semanales efectivamente asignadas. Y la incorporación del apoyo individual en aula que el menor venía recibiendo</w:t>
      </w:r>
      <w:r>
        <w:t xml:space="preserve"> </w:t>
      </w:r>
      <w:r>
        <w:rPr>
          <w:b/>
        </w:rPr>
        <w:t xml:space="preserve">no se ha producido</w:t>
      </w:r>
      <w:r>
        <w:t xml:space="preserve">. La familia</w:t>
      </w:r>
      <w:r>
        <w:t xml:space="preserve"> </w:t>
      </w:r>
      <w:r>
        <w:rPr>
          <w:b/>
        </w:rPr>
        <w:t xml:space="preserve">no ha recibido resolución</w:t>
      </w:r>
      <w:r>
        <w:rPr>
          <w:b/>
        </w:rPr>
        <w:t xml:space="preserve"> </w:t>
      </w:r>
      <w:r>
        <w:rPr>
          <w:b/>
        </w:rPr>
        <w:t xml:space="preserve">administrativa alguna, ni motivación, ni indicación de recursos</w:t>
      </w:r>
      <w:r>
        <w:t xml:space="preserve">. Desconoce si la causa es una</w:t>
      </w:r>
      <w:r>
        <w:t xml:space="preserve"> </w:t>
      </w:r>
      <w:r>
        <w:t xml:space="preserve">instrucción de la Administración, una decisión del centro o una circunstancia ajena a ambos.</w:t>
      </w:r>
    </w:p>
    <w:p>
      <w:pPr>
        <w:pStyle w:val="BodyText"/>
      </w:pPr>
      <w:r>
        <w:rPr>
          <w:b/>
        </w:rPr>
        <w:t xml:space="preserve">Quinto.</w:t>
      </w:r>
      <w:r>
        <w:t xml:space="preserve"> </w:t>
      </w:r>
      <w:r>
        <w:t xml:space="preserve">El menor se encuentra, en consecuencia,</w:t>
      </w:r>
      <w:r>
        <w:t xml:space="preserve"> </w:t>
      </w:r>
      <w:r>
        <w:rPr>
          <w:b/>
        </w:rPr>
        <w:t xml:space="preserve">escolarizado en aula ordinaria sin el apoyo</w:t>
      </w:r>
      <w:r>
        <w:rPr>
          <w:b/>
        </w:rPr>
        <w:t xml:space="preserve"> </w:t>
      </w:r>
      <w:r>
        <w:rPr>
          <w:b/>
        </w:rPr>
        <w:t xml:space="preserve">individual que venía recibiendo y sin que se le haya asignado recurso público sustitutivo alguno</w:t>
      </w:r>
      <w:r>
        <w:t xml:space="preserve">.</w:t>
      </w:r>
    </w:p>
    <w:p>
      <w:pPr>
        <w:pStyle w:val="BodyText"/>
      </w:pPr>
      <w:r>
        <w:rPr>
          <w:b/>
        </w:rPr>
        <w:t xml:space="preserve">Sexto.</w:t>
      </w:r>
      <w:r>
        <w:t xml:space="preserve"> </w:t>
      </w:r>
      <w:r>
        <w:t xml:space="preserve">La familia ha presentado</w:t>
      </w:r>
      <w:r>
        <w:t xml:space="preserve"> </w:t>
      </w:r>
      <w:r>
        <w:rPr>
          <w:rStyle w:val="VerbatimChar"/>
        </w:rPr>
        <w:t xml:space="preserve">[RELACIÓN DE ESCRITOS PRESENTADOS Y FECHAS]</w:t>
      </w:r>
      <w:r>
        <w:t xml:space="preserve">, sin que a la</w:t>
      </w:r>
      <w:r>
        <w:t xml:space="preserve"> </w:t>
      </w:r>
      <w:r>
        <w:t xml:space="preserve">fecha</w:t>
      </w:r>
      <w:r>
        <w:t xml:space="preserve"> </w:t>
      </w:r>
      <w:r>
        <w:rPr>
          <w:rStyle w:val="VerbatimChar"/>
        </w:rPr>
        <w:t xml:space="preserve">[haya recaído resolución / se haya obtenido respuesta]</w:t>
      </w:r>
      <w:r>
        <w:t xml:space="preserve">.</w:t>
      </w:r>
    </w:p>
    <w:p>
      <w:pPr>
        <w:pStyle w:val="Heading3"/>
      </w:pPr>
      <w:bookmarkStart w:id="22" w:name="fundamentos"/>
      <w:r>
        <w:t xml:space="preserve">FUNDAMENTOS</w:t>
      </w:r>
      <w:bookmarkEnd w:id="22"/>
    </w:p>
    <w:p>
      <w:pPr>
        <w:pStyle w:val="FirstParagraph"/>
      </w:pPr>
      <w:r>
        <w:rPr>
          <w:b/>
        </w:rPr>
        <w:t xml:space="preserve">1.</w:t>
      </w:r>
      <w:r>
        <w:t xml:space="preserve"> </w:t>
      </w:r>
      <w:r>
        <w:t xml:space="preserve">El artículo 24 de la</w:t>
      </w:r>
      <w:r>
        <w:t xml:space="preserve"> </w:t>
      </w:r>
      <w:r>
        <w:rPr>
          <w:b/>
        </w:rPr>
        <w:t xml:space="preserve">Convención sobre los Derechos de las Personas con Discapacidad</w:t>
      </w:r>
      <w:r>
        <w:t xml:space="preserve"> </w:t>
      </w:r>
      <w:r>
        <w:t xml:space="preserve">—de aplicación directa en España— obliga a prestar el apoyo necesario dentro del sistema general</w:t>
      </w:r>
      <w:r>
        <w:t xml:space="preserve"> </w:t>
      </w:r>
      <w:r>
        <w:t xml:space="preserve">de educación y a realizar ajustes razonables; su artículo 2 califica la denegación de ajustes</w:t>
      </w:r>
      <w:r>
        <w:t xml:space="preserve"> </w:t>
      </w:r>
      <w:r>
        <w:t xml:space="preserve">razonables como</w:t>
      </w:r>
      <w:r>
        <w:t xml:space="preserve"> </w:t>
      </w:r>
      <w:r>
        <w:rPr>
          <w:b/>
        </w:rPr>
        <w:t xml:space="preserve">discriminación</w:t>
      </w:r>
      <w:r>
        <w:t xml:space="preserve">. La</w:t>
      </w:r>
      <w:r>
        <w:t xml:space="preserve"> </w:t>
      </w:r>
      <w:r>
        <w:rPr>
          <w:b/>
        </w:rPr>
        <w:t xml:space="preserve">Observación General nº 4</w:t>
      </w:r>
      <w:r>
        <w:t xml:space="preserve"> </w:t>
      </w:r>
      <w:r>
        <w:t xml:space="preserve">del Comité (CRPD/C/GC/4)</w:t>
      </w:r>
      <w:r>
        <w:t xml:space="preserve"> </w:t>
      </w:r>
      <w:r>
        <w:t xml:space="preserve">añade que dicha obligación es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de aplicación inmediata</w:t>
      </w:r>
      <w:r>
        <w:rPr>
          <w:b/>
        </w:rPr>
        <w:t xml:space="preserve">”</w:t>
      </w:r>
      <w:r>
        <w:t xml:space="preserve"> </w:t>
      </w:r>
      <w:r>
        <w:t xml:space="preserve">(párr. 30) y que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escudarse en la</w:t>
      </w:r>
      <w:r>
        <w:rPr>
          <w:b/>
        </w:rPr>
        <w:t xml:space="preserve"> </w:t>
      </w:r>
      <w:r>
        <w:rPr>
          <w:b/>
        </w:rPr>
        <w:t xml:space="preserve">falta de recursos… viola el artículo 24</w:t>
      </w:r>
      <w:r>
        <w:rPr>
          <w:b/>
        </w:rPr>
        <w:t xml:space="preserve">”</w:t>
      </w:r>
      <w:r>
        <w:t xml:space="preserve"> </w:t>
      </w:r>
      <w:r>
        <w:t xml:space="preserve">(párr. 27).</w:t>
      </w:r>
    </w:p>
    <w:p>
      <w:pPr>
        <w:pStyle w:val="BodyText"/>
      </w:pPr>
      <w:r>
        <w:rPr>
          <w:b/>
        </w:rPr>
        <w:t xml:space="preserve">2.</w:t>
      </w:r>
      <w:r>
        <w:t xml:space="preserve"> </w:t>
      </w:r>
      <w:r>
        <w:t xml:space="preserve">El artículo 72.2 de la</w:t>
      </w:r>
      <w:r>
        <w:t xml:space="preserve"> </w:t>
      </w:r>
      <w:r>
        <w:rPr>
          <w:b/>
        </w:rPr>
        <w:t xml:space="preserve">Ley Orgánica 2/2006, de Educación</w:t>
      </w:r>
      <w:r>
        <w:t xml:space="preserve">, obliga a la Administración a</w:t>
      </w:r>
      <w:r>
        <w:t xml:space="preserve"> </w:t>
      </w:r>
      <w:r>
        <w:t xml:space="preserve">dotar a los centros de los recursos necesarios, con</w:t>
      </w:r>
      <w:r>
        <w:t xml:space="preserve"> </w:t>
      </w:r>
      <w:r>
        <w:rPr>
          <w:b/>
        </w:rPr>
        <w:t xml:space="preserve">idénticos criterios para centros públicos y</w:t>
      </w:r>
      <w:r>
        <w:rPr>
          <w:b/>
        </w:rPr>
        <w:t xml:space="preserve"> </w:t>
      </w:r>
      <w:r>
        <w:rPr>
          <w:b/>
        </w:rPr>
        <w:t xml:space="preserve">privados concertados</w:t>
      </w:r>
      <w:r>
        <w:t xml:space="preserve">.</w:t>
      </w:r>
    </w:p>
    <w:p>
      <w:pPr>
        <w:pStyle w:val="BodyText"/>
      </w:pPr>
      <w:r>
        <w:rPr>
          <w:b/>
        </w:rPr>
        <w:t xml:space="preserve">3.</w:t>
      </w:r>
      <w:r>
        <w:t xml:space="preserve"> </w:t>
      </w:r>
      <w:r>
        <w:t xml:space="preserve">Los artículos 113, 116, 117 y 118 de la</w:t>
      </w:r>
      <w:r>
        <w:t xml:space="preserve"> </w:t>
      </w:r>
      <w:r>
        <w:rPr>
          <w:b/>
        </w:rPr>
        <w:t xml:space="preserve">Ley 17/2007, de Educación de Andalucía</w:t>
      </w:r>
      <w:r>
        <w:t xml:space="preserve">,</w:t>
      </w:r>
      <w:r>
        <w:t xml:space="preserve"> </w:t>
      </w:r>
      <w:r>
        <w:t xml:space="preserve">garantizan la reducción de ratios, la dotación de profesionales cualificados, la atención</w:t>
      </w:r>
      <w:r>
        <w:t xml:space="preserve"> </w:t>
      </w:r>
      <w:r>
        <w:t xml:space="preserve">preferente de los servicios de apoyo y la financiación de la atención en centros concertados</w:t>
      </w:r>
      <w:r>
        <w:t xml:space="preserve"> </w:t>
      </w:r>
      <w:r>
        <w:t xml:space="preserve">mediante la</w:t>
      </w:r>
      <w:r>
        <w:t xml:space="preserve"> </w:t>
      </w:r>
      <w:r>
        <w:rPr>
          <w:b/>
        </w:rPr>
        <w:t xml:space="preserve">concertación de unidades de apoyo a la integración</w:t>
      </w:r>
      <w:r>
        <w:t xml:space="preserve">.</w:t>
      </w:r>
    </w:p>
    <w:p>
      <w:pPr>
        <w:pStyle w:val="BodyText"/>
      </w:pPr>
      <w:r>
        <w:rPr>
          <w:b/>
        </w:rPr>
        <w:t xml:space="preserve">4.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Tribunal Constitucional</w:t>
      </w:r>
      <w:r>
        <w:t xml:space="preserve"> </w:t>
      </w:r>
      <w:r>
        <w:t xml:space="preserve">(STC 10/2014, FJ 4) fijó que la Administración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deberá</w:t>
      </w:r>
      <w:r>
        <w:rPr>
          <w:b/>
        </w:rPr>
        <w:t xml:space="preserve"> </w:t>
      </w:r>
      <w:r>
        <w:rPr>
          <w:b/>
        </w:rPr>
        <w:t xml:space="preserve">exteriorizar los motivos</w:t>
      </w:r>
      <w:r>
        <w:rPr>
          <w:b/>
        </w:rPr>
        <w:t xml:space="preserve">”</w:t>
      </w:r>
      <w:r>
        <w:t xml:space="preserve"> </w:t>
      </w:r>
      <w:r>
        <w:t xml:space="preserve">cuando no preste los apoyos en el centro ordinario; y el</w:t>
      </w:r>
      <w:r>
        <w:t xml:space="preserve"> </w:t>
      </w:r>
      <w:r>
        <w:rPr>
          <w:b/>
        </w:rPr>
        <w:t xml:space="preserve">Tribunal</w:t>
      </w:r>
      <w:r>
        <w:rPr>
          <w:b/>
        </w:rPr>
        <w:t xml:space="preserve"> </w:t>
      </w:r>
      <w:r>
        <w:rPr>
          <w:b/>
        </w:rPr>
        <w:t xml:space="preserve">Supremo</w:t>
      </w:r>
      <w:r>
        <w:t xml:space="preserve"> </w:t>
      </w:r>
      <w:r>
        <w:t xml:space="preserve">(sentencia de 14 de diciembre de 2017, rec. 2965/2016) que debe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justificar con todo</w:t>
      </w:r>
      <w:r>
        <w:rPr>
          <w:b/>
        </w:rPr>
        <w:t xml:space="preserve"> </w:t>
      </w:r>
      <w:r>
        <w:rPr>
          <w:b/>
        </w:rPr>
        <w:t xml:space="preserve">rigor</w:t>
      </w:r>
      <w:r>
        <w:rPr>
          <w:b/>
        </w:rPr>
        <w:t xml:space="preserve">”</w:t>
      </w:r>
      <w:r>
        <w:t xml:space="preserve"> </w:t>
      </w:r>
      <w:r>
        <w:t xml:space="preserve">esa imposibilidad. En el presente caso</w:t>
      </w:r>
      <w:r>
        <w:t xml:space="preserve"> </w:t>
      </w:r>
      <w:r>
        <w:rPr>
          <w:b/>
        </w:rPr>
        <w:t xml:space="preserve">no ha habido motivación de ningún tipo</w:t>
      </w:r>
      <w:r>
        <w:t xml:space="preserve">,</w:t>
      </w:r>
      <w:r>
        <w:t xml:space="preserve"> </w:t>
      </w:r>
      <w:r>
        <w:t xml:space="preserve">porque no ha habido acto administrativo alguno.</w:t>
      </w:r>
    </w:p>
    <w:p>
      <w:pPr>
        <w:pStyle w:val="BodyText"/>
      </w:pPr>
      <w:r>
        <w:rPr>
          <w:b/>
        </w:rPr>
        <w:t xml:space="preserve">5.</w:t>
      </w:r>
      <w:r>
        <w:t xml:space="preserve"> </w:t>
      </w:r>
      <w:r>
        <w:t xml:space="preserve">Esa Defensoría ha conocido con anterioridad de supuestos análogos, habiendo logrado en</w:t>
      </w:r>
      <w:r>
        <w:t xml:space="preserve"> </w:t>
      </w:r>
      <w:r>
        <w:t xml:space="preserve">ellos la asignación efectiva del recurso o la reordenación de los profesionales asignados</w:t>
      </w:r>
      <w:r>
        <w:t xml:space="preserve"> </w:t>
      </w:r>
      <w:r>
        <w:t xml:space="preserve">(entre otras, quejas 20/6809, 21/8805, 23/3037 y 23/7185).</w:t>
      </w:r>
    </w:p>
    <w:p>
      <w:pPr>
        <w:pStyle w:val="Heading3"/>
      </w:pPr>
      <w:bookmarkStart w:id="23" w:name="pretensión"/>
      <w:r>
        <w:t xml:space="preserve">PRETENSIÓN</w:t>
      </w:r>
      <w:bookmarkEnd w:id="23"/>
    </w:p>
    <w:p>
      <w:pPr>
        <w:pStyle w:val="FirstParagraph"/>
      </w:pPr>
      <w:r>
        <w:rPr>
          <w:b/>
        </w:rPr>
        <w:t xml:space="preserve">Primera.</w:t>
      </w:r>
      <w:r>
        <w:t xml:space="preserve"> </w:t>
      </w:r>
      <w:r>
        <w:t xml:space="preserve">Que se</w:t>
      </w:r>
      <w:r>
        <w:t xml:space="preserve"> </w:t>
      </w:r>
      <w:r>
        <w:rPr>
          <w:b/>
        </w:rPr>
        <w:t xml:space="preserve">admita a trámite</w:t>
      </w:r>
      <w:r>
        <w:t xml:space="preserve"> </w:t>
      </w:r>
      <w:r>
        <w:t xml:space="preserve">la presente queja y se recabe informe del centro docente</w:t>
      </w:r>
      <w:r>
        <w:t xml:space="preserve"> </w:t>
      </w:r>
      <w:r>
        <w:t xml:space="preserve">y de la Administración educativa sobre los hechos expuestos.</w:t>
      </w:r>
    </w:p>
    <w:p>
      <w:pPr>
        <w:pStyle w:val="BodyText"/>
      </w:pPr>
      <w:r>
        <w:rPr>
          <w:b/>
        </w:rPr>
        <w:t xml:space="preserve">Segunda.</w:t>
      </w:r>
      <w:r>
        <w:t xml:space="preserve"> </w:t>
      </w:r>
      <w:r>
        <w:t xml:space="preserve">Que se interese de la Administración educativa la</w:t>
      </w:r>
      <w:r>
        <w:t xml:space="preserve"> </w:t>
      </w:r>
      <w:r>
        <w:rPr>
          <w:b/>
        </w:rPr>
        <w:t xml:space="preserve">asignación efectiva al menor de</w:t>
      </w:r>
      <w:r>
        <w:rPr>
          <w:b/>
        </w:rPr>
        <w:t xml:space="preserve"> </w:t>
      </w:r>
      <w:r>
        <w:rPr>
          <w:b/>
        </w:rPr>
        <w:t xml:space="preserve">los recursos personales</w:t>
      </w:r>
      <w:r>
        <w:t xml:space="preserve"> </w:t>
      </w:r>
      <w:r>
        <w:t xml:space="preserve">que precise conforme a su informe de evaluación psicopedagógica, con</w:t>
      </w:r>
      <w:r>
        <w:t xml:space="preserve"> </w:t>
      </w:r>
      <w:r>
        <w:t xml:space="preserve">expresión de tipología y horas semanales.</w:t>
      </w:r>
    </w:p>
    <w:p>
      <w:pPr>
        <w:pStyle w:val="BodyText"/>
      </w:pPr>
      <w:r>
        <w:rPr>
          <w:b/>
        </w:rPr>
        <w:t xml:space="preserve">Tercera.</w:t>
      </w:r>
      <w:r>
        <w:t xml:space="preserve"> </w:t>
      </w:r>
      <w:r>
        <w:t xml:space="preserve">Que se interese de la Administración que,</w:t>
      </w:r>
      <w:r>
        <w:t xml:space="preserve"> </w:t>
      </w:r>
      <w:r>
        <w:rPr>
          <w:b/>
        </w:rPr>
        <w:t xml:space="preserve">en tanto no se produzca dicha</w:t>
      </w:r>
      <w:r>
        <w:rPr>
          <w:b/>
        </w:rPr>
        <w:t xml:space="preserve"> </w:t>
      </w:r>
      <w:r>
        <w:rPr>
          <w:b/>
        </w:rPr>
        <w:t xml:space="preserve">asignación</w:t>
      </w:r>
      <w:r>
        <w:t xml:space="preserve">, habilite una</w:t>
      </w:r>
      <w:r>
        <w:t xml:space="preserve"> </w:t>
      </w:r>
      <w:r>
        <w:rPr>
          <w:b/>
        </w:rPr>
        <w:t xml:space="preserve">medida puente de aplicación inmediata</w:t>
      </w:r>
      <w:r>
        <w:t xml:space="preserve"> </w:t>
      </w:r>
      <w:r>
        <w:t xml:space="preserve">que evite que el menor</w:t>
      </w:r>
      <w:r>
        <w:t xml:space="preserve"> </w:t>
      </w:r>
      <w:r>
        <w:t xml:space="preserve">transcurra el curso sin apoyo.</w:t>
      </w:r>
    </w:p>
    <w:p>
      <w:pPr>
        <w:pStyle w:val="BodyText"/>
      </w:pPr>
      <w:r>
        <w:rPr>
          <w:b/>
        </w:rPr>
        <w:t xml:space="preserve">Cuarta.</w:t>
      </w:r>
      <w:r>
        <w:t xml:space="preserve"> </w:t>
      </w:r>
      <w:r>
        <w:t xml:space="preserve">Que se interese de la Administración que</w:t>
      </w:r>
      <w:r>
        <w:t xml:space="preserve"> </w:t>
      </w:r>
      <w:r>
        <w:rPr>
          <w:b/>
        </w:rPr>
        <w:t xml:space="preserve">aclare, por escrito, el régimen aplicable</w:t>
      </w:r>
      <w:r>
        <w:t xml:space="preserve"> </w:t>
      </w:r>
      <w:r>
        <w:t xml:space="preserve">en el presente curso al acceso a las aulas de personal de apoyo procedente de entidades del</w:t>
      </w:r>
      <w:r>
        <w:t xml:space="preserve"> </w:t>
      </w:r>
      <w:r>
        <w:t xml:space="preserve">tercer sector, y</w:t>
      </w:r>
      <w:r>
        <w:t xml:space="preserve"> </w:t>
      </w:r>
      <w:r>
        <w:rPr>
          <w:b/>
        </w:rPr>
        <w:t xml:space="preserve">si existe norma publicada</w:t>
      </w:r>
      <w:r>
        <w:t xml:space="preserve"> </w:t>
      </w:r>
      <w:r>
        <w:t xml:space="preserve">que condicione ese acceso a la pertenencia de la</w:t>
      </w:r>
      <w:r>
        <w:t xml:space="preserve"> </w:t>
      </w:r>
      <w:r>
        <w:t xml:space="preserve">entidad a una federación determinada.</w:t>
      </w:r>
    </w:p>
    <w:p>
      <w:pPr>
        <w:pStyle w:val="BodyText"/>
      </w:pPr>
      <w:r>
        <w:rPr>
          <w:b/>
        </w:rPr>
        <w:t xml:space="preserve">Quinta.</w:t>
      </w:r>
      <w:r>
        <w:t xml:space="preserve"> </w:t>
      </w:r>
      <w:r>
        <w:t xml:space="preserve">Que, si esa Defensoría lo estima procedente, se valore</w:t>
      </w:r>
      <w:r>
        <w:t xml:space="preserve"> </w:t>
      </w:r>
      <w:r>
        <w:rPr>
          <w:b/>
        </w:rPr>
        <w:t xml:space="preserve">extender la actuación con</w:t>
      </w:r>
      <w:r>
        <w:rPr>
          <w:b/>
        </w:rPr>
        <w:t xml:space="preserve"> </w:t>
      </w:r>
      <w:r>
        <w:rPr>
          <w:b/>
        </w:rPr>
        <w:t xml:space="preserve">carácter general</w:t>
      </w:r>
      <w:r>
        <w:t xml:space="preserve"> </w:t>
      </w:r>
      <w:r>
        <w:t xml:space="preserve">al conjunto del alumnado andaluz que se encuentre en la misma situación,</w:t>
      </w:r>
      <w:r>
        <w:t xml:space="preserve"> </w:t>
      </w:r>
      <w:r>
        <w:rPr>
          <w:b/>
        </w:rPr>
        <w:t xml:space="preserve">incluido el que ya venía recibiendo el apoyo con independencia de la entidad a través de la</w:t>
      </w:r>
      <w:r>
        <w:rPr>
          <w:b/>
        </w:rPr>
        <w:t xml:space="preserve"> </w:t>
      </w:r>
      <w:r>
        <w:rPr>
          <w:b/>
        </w:rPr>
        <w:t xml:space="preserve">cual se canalizara y de que esta estuviera o no federada</w:t>
      </w:r>
      <w:r>
        <w:t xml:space="preserve">, por tratarse de una circunstancia</w:t>
      </w:r>
      <w:r>
        <w:t xml:space="preserve"> </w:t>
      </w:r>
      <w:r>
        <w:t xml:space="preserve">ajena a los menores afectados.</w:t>
      </w:r>
    </w:p>
    <w:p>
      <w:pPr>
        <w:pStyle w:val="BodyText"/>
      </w:pPr>
      <w:r>
        <w:rPr>
          <w:b/>
        </w:rPr>
        <w:t xml:space="preserve">Sexta.</w:t>
      </w:r>
      <w:r>
        <w:t xml:space="preserve"> </w:t>
      </w:r>
      <w:r>
        <w:t xml:space="preserve">Que se me mantenga informado del estado de la actuación.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</w:p>
    <w:p>
      <w:pPr>
        <w:pStyle w:val="BlockText"/>
      </w:pPr>
      <w:r>
        <w:rPr>
          <w:b/>
        </w:rPr>
        <w:t xml:space="preserve">Nota.</w:t>
      </w:r>
      <w:r>
        <w:t xml:space="preserve"> </w:t>
      </w:r>
      <w:r>
        <w:t xml:space="preserve">Para la versión pública de la plantilla, sustituir todos los datos por corchetes y</w:t>
      </w:r>
      <w:r>
        <w:t xml:space="preserve"> </w:t>
      </w:r>
      <w:r>
        <w:rPr>
          <w:b/>
        </w:rPr>
        <w:t xml:space="preserve">no incluir edad ni curso concretos</w:t>
      </w:r>
      <w:r>
        <w:t xml:space="preserve"> </w:t>
      </w:r>
      <w:r>
        <w:t xml:space="preserve">si se teme identificación en centros pequeños.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