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fundamentación-jurídica-común"/>
      <w:r>
        <w:t xml:space="preserve">Fundamentación jurídica común</w:t>
      </w:r>
      <w:bookmarkEnd w:id="20"/>
    </w:p>
    <w:p>
      <w:pPr>
        <w:pStyle w:val="FirstParagraph"/>
      </w:pPr>
      <w:r>
        <w:rPr>
          <w:b/>
        </w:rPr>
        <w:t xml:space="preserve">Qué es.</w:t>
      </w:r>
      <w:r>
        <w:t xml:space="preserve"> </w:t>
      </w:r>
      <w:r>
        <w:t xml:space="preserve">El bloque de argumentación que invocan todos los escritos, entero o en parte. Está redactado para copiar y pegar.</w:t>
      </w:r>
    </w:p>
    <w:p>
      <w:pPr>
        <w:pStyle w:val="BodyText"/>
      </w:pPr>
      <w:r>
        <w:rPr>
          <w:b/>
        </w:rPr>
        <w:t xml:space="preserve">Cómo usarlo.</w:t>
      </w:r>
      <w:r>
        <w:t xml:space="preserve"> </w:t>
      </w:r>
      <w:r>
        <w:t xml:space="preserve">Coge solo los apartados que encajen con tu caso; no hace falta meterlo todo. El apartado E —el petitum subsidiario— conviene copiarlo literal: es el que no se puede denegar limpiamente.</w:t>
      </w:r>
    </w:p>
    <w:p>
      <w:pPr>
        <w:pStyle w:val="BodyText"/>
      </w:pPr>
      <w:r>
        <w:rPr>
          <w:b/>
        </w:rPr>
        <w:t xml:space="preserve">Los avisos marcados con ⚠ son importantes.</w:t>
      </w:r>
      <w:r>
        <w:t xml:space="preserve"> </w:t>
      </w:r>
      <w:r>
        <w:t xml:space="preserve">Señalan citas que se rompen si se usan mal: una sentencia cuyo fallo dice lo contrario de lo que parece, una frase que circula entrecomillada y no es literal, y unos datos de referencia equivocados. Respetarlos es lo que hace que un escrito aguante delante de quien tiene que resolverlo.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a.-la-arquitectura-del-argumento"/>
      <w:r>
        <w:t xml:space="preserve">A. LA ARQUITECTURA DEL ARGUMENTO</w:t>
      </w:r>
      <w:bookmarkEnd w:id="21"/>
    </w:p>
    <w:p>
      <w:pPr>
        <w:pStyle w:val="FirstParagraph"/>
      </w:pPr>
      <w:r>
        <w:t xml:space="preserve">No se pide un favor ni un recurso extraordinario. Se pide</w:t>
      </w:r>
      <w:r>
        <w:t xml:space="preserve"> </w:t>
      </w:r>
      <w:r>
        <w:rPr>
          <w:b/>
        </w:rPr>
        <w:t xml:space="preserve">el recurso ordinario que la ley</w:t>
      </w:r>
      <w:r>
        <w:rPr>
          <w:b/>
        </w:rPr>
        <w:t xml:space="preserve"> </w:t>
      </w:r>
      <w:r>
        <w:rPr>
          <w:b/>
        </w:rPr>
        <w:t xml:space="preserve">obliga a dotar</w:t>
      </w:r>
      <w:r>
        <w:t xml:space="preserve">, y se traslada a la Administración la carga de demostrar por escrito por qué no</w:t>
      </w:r>
      <w:r>
        <w:t xml:space="preserve"> </w:t>
      </w:r>
      <w:r>
        <w:t xml:space="preserve">puede darlo. Cinco peldaños: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El derecho existe y es de aplicación directa</w:t>
      </w:r>
      <w:r>
        <w:t xml:space="preserve"> </w:t>
      </w:r>
      <w:r>
        <w:t xml:space="preserve">(Convención ONU + LOE + LEA).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La regla es el aula ordinaria con apoyos; la excepción hay que motivarla</w:t>
      </w:r>
      <w:r>
        <w:t xml:space="preserve"> </w:t>
      </w:r>
      <w:r>
        <w:t xml:space="preserve">(STC 10/2014).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La carga de motivar es de la Administración, no de la familia</w:t>
      </w:r>
      <w:r>
        <w:t xml:space="preserve"> </w:t>
      </w:r>
      <w:r>
        <w:t xml:space="preserve">(STS 14-12-2017).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Negar el ajuste no es gestionar: es discriminar</w:t>
      </w:r>
      <w:r>
        <w:t xml:space="preserve"> </w:t>
      </w:r>
      <w:r>
        <w:t xml:space="preserve">(OG nº 4, párr. 30).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El presupuesto no vale como excusa</w:t>
      </w:r>
      <w:r>
        <w:t xml:space="preserve"> </w:t>
      </w:r>
      <w:r>
        <w:t xml:space="preserve">(OG nº 4 párr. 27; G.L. c. Italia; STS 9-5-2011).</w:t>
      </w:r>
    </w:p>
    <w:p>
      <w:pPr>
        <w:pStyle w:val="FirstParagraph"/>
      </w:pPr>
      <w:r>
        <w:t xml:space="preserve">Y encima de todo, el</w:t>
      </w:r>
      <w:r>
        <w:t xml:space="preserve"> </w:t>
      </w:r>
      <w:r>
        <w:rPr>
          <w:b/>
        </w:rPr>
        <w:t xml:space="preserve">petitum subsidiario</w:t>
      </w:r>
      <w:r>
        <w:t xml:space="preserve"> </w:t>
      </w:r>
      <w:r>
        <w:t xml:space="preserve">del apartado E, que es el que no se puede denegar</w:t>
      </w:r>
      <w:r>
        <w:t xml:space="preserve"> </w:t>
      </w:r>
      <w:r>
        <w:t xml:space="preserve">limpiamente.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b.-bloque-normativo-para-copiar"/>
      <w:r>
        <w:t xml:space="preserve">B. BLOQUE NORMATIVO — para copiar</w:t>
      </w:r>
      <w:bookmarkEnd w:id="22"/>
    </w:p>
    <w:p>
      <w:pPr>
        <w:pStyle w:val="Heading3"/>
      </w:pPr>
      <w:bookmarkStart w:id="23" w:name="X685575176e7ac1e5b139a66d88b50f519f0608e"/>
      <w:r>
        <w:t xml:space="preserve">B.1 Derecho internacional de aplicación directa</w:t>
      </w:r>
      <w:bookmarkEnd w:id="23"/>
    </w:p>
    <w:p>
      <w:pPr>
        <w:pStyle w:val="FirstParagraph"/>
      </w:pPr>
      <w:r>
        <w:rPr>
          <w:b/>
        </w:rPr>
        <w:t xml:space="preserve">Convención Internacional sobre los Derechos de las Personas con Discapacidad</w:t>
      </w:r>
      <w:r>
        <w:t xml:space="preserve"> </w:t>
      </w:r>
      <w:r>
        <w:t xml:space="preserve">(Nueva York,</w:t>
      </w:r>
      <w:r>
        <w:t xml:space="preserve"> </w:t>
      </w:r>
      <w:r>
        <w:t xml:space="preserve">13 de diciembre de 2006), ratificada por España mediante Instrumento de 23 de noviembre de 2007</w:t>
      </w:r>
      <w:r>
        <w:t xml:space="preserve"> </w:t>
      </w:r>
      <w:r>
        <w:t xml:space="preserve">(BOE-A-2008-6963),</w:t>
      </w:r>
      <w:r>
        <w:t xml:space="preserve"> </w:t>
      </w:r>
      <w:r>
        <w:rPr>
          <w:b/>
        </w:rPr>
        <w:t xml:space="preserve">en vigor desde el 3 de mayo de 2008</w:t>
      </w:r>
      <w:r>
        <w:t xml:space="preserve">. Conforme a los artículos 29, 30 y 31</w:t>
      </w:r>
      <w:r>
        <w:t xml:space="preserve"> </w:t>
      </w:r>
      <w:r>
        <w:t xml:space="preserve">de la</w:t>
      </w:r>
      <w:r>
        <w:t xml:space="preserve"> </w:t>
      </w:r>
      <w:r>
        <w:rPr>
          <w:b/>
        </w:rPr>
        <w:t xml:space="preserve">Ley 25/2014, de 27 de noviembre, de Tratados y otros Acuerdos Internacionales</w:t>
      </w:r>
      <w:r>
        <w:t xml:space="preserve">, sus</w:t>
      </w:r>
      <w:r>
        <w:t xml:space="preserve"> </w:t>
      </w:r>
      <w:r>
        <w:t xml:space="preserve">disposiciones son</w:t>
      </w:r>
      <w:r>
        <w:t xml:space="preserve"> </w:t>
      </w:r>
      <w:r>
        <w:rPr>
          <w:b/>
        </w:rPr>
        <w:t xml:space="preserve">de aplicación directa</w:t>
      </w:r>
      <w:r>
        <w:t xml:space="preserve">,</w:t>
      </w:r>
      <w:r>
        <w:t xml:space="preserve"> </w:t>
      </w:r>
      <w:r>
        <w:rPr>
          <w:b/>
        </w:rPr>
        <w:t xml:space="preserve">prevalecen sobre cualquier norma interna de rango</w:t>
      </w:r>
      <w:r>
        <w:rPr>
          <w:b/>
        </w:rPr>
        <w:t xml:space="preserve"> </w:t>
      </w:r>
      <w:r>
        <w:rPr>
          <w:b/>
        </w:rPr>
        <w:t xml:space="preserve">infraconstitucional</w:t>
      </w:r>
      <w:r>
        <w:t xml:space="preserve"> </w:t>
      </w:r>
      <w:r>
        <w:t xml:space="preserve">y</w:t>
      </w:r>
      <w:r>
        <w:t xml:space="preserve"> </w:t>
      </w:r>
      <w:r>
        <w:rPr>
          <w:b/>
        </w:rPr>
        <w:t xml:space="preserve">vinculan a todos los poderes públicos</w:t>
      </w:r>
      <w:r>
        <w:t xml:space="preserve">, incluida esa Administración.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Artículo 24.2.c)</w:t>
      </w:r>
      <w:r>
        <w:t xml:space="preserve">: obligación de realizar</w:t>
      </w:r>
      <w:r>
        <w:t xml:space="preserve"> </w:t>
      </w:r>
      <w:r>
        <w:rPr>
          <w:b/>
        </w:rPr>
        <w:t xml:space="preserve">ajustes razonables</w:t>
      </w:r>
      <w:r>
        <w:t xml:space="preserve"> </w:t>
      </w:r>
      <w:r>
        <w:t xml:space="preserve">en función de las</w:t>
      </w:r>
      <w:r>
        <w:t xml:space="preserve"> </w:t>
      </w:r>
      <w:r>
        <w:t xml:space="preserve">necesidades individuales.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Artículo 24.2.d)</w:t>
      </w:r>
      <w:r>
        <w:t xml:space="preserve">: las personas con discapacidad deben recibir</w:t>
      </w:r>
      <w:r>
        <w:t xml:space="preserve"> </w:t>
      </w:r>
      <w:r>
        <w:rPr>
          <w:b/>
        </w:rPr>
        <w:t xml:space="preserve">el apoyo necesario, en el</w:t>
      </w:r>
      <w:r>
        <w:rPr>
          <w:b/>
        </w:rPr>
        <w:t xml:space="preserve"> </w:t>
      </w:r>
      <w:r>
        <w:rPr>
          <w:b/>
        </w:rPr>
        <w:t xml:space="preserve">marco del sistema general de educación</w:t>
      </w:r>
      <w:r>
        <w:t xml:space="preserve">, para facilitar su formación efectiva.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Artículo 24.2.e)</w:t>
      </w:r>
      <w:r>
        <w:t xml:space="preserve">: obligación de facilitar</w:t>
      </w:r>
      <w:r>
        <w:t xml:space="preserve"> </w:t>
      </w:r>
      <w:r>
        <w:rPr>
          <w:b/>
        </w:rPr>
        <w:t xml:space="preserve">medidas de apoyo personalizadas y efectivas</w:t>
      </w:r>
      <w:r>
        <w:t xml:space="preserve"> </w:t>
      </w:r>
      <w:r>
        <w:t xml:space="preserve">en entornos que fomenten al máximo el desarrollo académico y social.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Artículo 2</w:t>
      </w:r>
      <w:r>
        <w:t xml:space="preserve">: la</w:t>
      </w:r>
      <w:r>
        <w:t xml:space="preserve"> </w:t>
      </w:r>
      <w:r>
        <w:rPr>
          <w:b/>
        </w:rPr>
        <w:t xml:space="preserve">denegación de ajustes razonables</w:t>
      </w:r>
      <w:r>
        <w:t xml:space="preserve"> </w:t>
      </w:r>
      <w:r>
        <w:t xml:space="preserve">se define como</w:t>
      </w:r>
      <w:r>
        <w:t xml:space="preserve"> </w:t>
      </w:r>
      <w:r>
        <w:rPr>
          <w:b/>
        </w:rPr>
        <w:t xml:space="preserve">discriminación por</w:t>
      </w:r>
      <w:r>
        <w:rPr>
          <w:b/>
        </w:rPr>
        <w:t xml:space="preserve"> </w:t>
      </w:r>
      <w:r>
        <w:rPr>
          <w:b/>
        </w:rPr>
        <w:t xml:space="preserve">motivos de discapacidad</w:t>
      </w:r>
      <w:r>
        <w:t xml:space="preserve">.</w:t>
      </w:r>
    </w:p>
    <w:p>
      <w:pPr>
        <w:pStyle w:val="FirstParagraph"/>
      </w:pPr>
      <w:r>
        <w:rPr>
          <w:b/>
        </w:rPr>
        <w:t xml:space="preserve">Observación General nº 4 (2016) del Comité sobre los Derechos de las Personas con Discapacidad,</w:t>
      </w:r>
      <w:r>
        <w:rPr>
          <w:b/>
        </w:rPr>
        <w:t xml:space="preserve"> </w:t>
      </w:r>
      <w:r>
        <w:rPr>
          <w:b/>
        </w:rPr>
        <w:t xml:space="preserve">documento CRPD/C/GC/4</w:t>
      </w:r>
      <w:r>
        <w:t xml:space="preserve">, sobre el derecho a la educación inclusiva:</w:t>
      </w:r>
    </w:p>
    <w:p>
      <w:pPr>
        <w:pStyle w:val="BlockText"/>
      </w:pPr>
      <w:r>
        <w:rPr>
          <w:b/>
        </w:rPr>
        <w:t xml:space="preserve">Párrafo 27:</w:t>
      </w:r>
      <w:r>
        <w:t xml:space="preserve"> </w:t>
      </w:r>
      <w:r>
        <w:rPr>
          <w:i/>
        </w:rPr>
        <w:t xml:space="preserve">“</w:t>
      </w:r>
      <w:r>
        <w:rPr>
          <w:i/>
        </w:rPr>
        <w:t xml:space="preserve">Escudarse en la falta de recursos y en la crisis financiera como una</w:t>
      </w:r>
      <w:r>
        <w:rPr>
          <w:i/>
        </w:rPr>
        <w:t xml:space="preserve"> </w:t>
      </w:r>
      <w:r>
        <w:rPr>
          <w:i/>
        </w:rPr>
        <w:t xml:space="preserve">justificación para el fracaso del progreso hacia la educación inclusiva viola el artículo 24.</w:t>
      </w:r>
      <w:r>
        <w:rPr>
          <w:i/>
        </w:rPr>
        <w:t xml:space="preserve">”</w:t>
      </w:r>
      <w:r>
        <w:t xml:space="preserve"> </w:t>
      </w:r>
      <w:r>
        <w:t xml:space="preserve">Y el deber de realizar el ajuste</w:t>
      </w:r>
      <w:r>
        <w:t xml:space="preserve"> </w:t>
      </w:r>
      <w:r>
        <w:rPr>
          <w:i/>
        </w:rPr>
        <w:t xml:space="preserve">“</w:t>
      </w:r>
      <w:r>
        <w:rPr>
          <w:i/>
        </w:rPr>
        <w:t xml:space="preserve">es ejecutable desde el momento en el que es demandado</w:t>
      </w:r>
      <w:r>
        <w:rPr>
          <w:i/>
        </w:rPr>
        <w:t xml:space="preserve">”</w:t>
      </w:r>
      <w:r>
        <w:t xml:space="preserve">.</w:t>
      </w:r>
    </w:p>
    <w:p>
      <w:pPr>
        <w:pStyle w:val="BlockText"/>
      </w:pPr>
      <w:r>
        <w:rPr>
          <w:b/>
        </w:rPr>
        <w:t xml:space="preserve">Párrafo 30:</w:t>
      </w:r>
      <w:r>
        <w:t xml:space="preserve"> </w:t>
      </w:r>
      <w:r>
        <w:rPr>
          <w:i/>
        </w:rPr>
        <w:t xml:space="preserve">“</w:t>
      </w:r>
      <w:r>
        <w:rPr>
          <w:i/>
        </w:rPr>
        <w:t xml:space="preserve">La negación de los ajustes razonables constituye un acto de discriminación y</w:t>
      </w:r>
      <w:r>
        <w:rPr>
          <w:i/>
        </w:rPr>
        <w:t xml:space="preserve"> </w:t>
      </w:r>
      <w:r>
        <w:rPr>
          <w:i/>
        </w:rPr>
        <w:t xml:space="preserve">la obligación de proporcionarlos es de aplicación inmediata.</w:t>
      </w:r>
      <w:r>
        <w:rPr>
          <w:i/>
        </w:rPr>
        <w:t xml:space="preserve">”</w:t>
      </w:r>
    </w:p>
    <w:p>
      <w:pPr>
        <w:pStyle w:val="BlockText"/>
      </w:pPr>
      <w:r>
        <w:rPr>
          <w:b/>
        </w:rPr>
        <w:t xml:space="preserve">Párrafo 11:</w:t>
      </w:r>
      <w:r>
        <w:t xml:space="preserve"> </w:t>
      </w:r>
      <w:r>
        <w:t xml:space="preserve">la inclusión implica</w:t>
      </w:r>
      <w:r>
        <w:t xml:space="preserve"> </w:t>
      </w:r>
      <w:r>
        <w:rPr>
          <w:i/>
        </w:rPr>
        <w:t xml:space="preserve">“</w:t>
      </w:r>
      <w:r>
        <w:rPr>
          <w:i/>
        </w:rPr>
        <w:t xml:space="preserve">un proceso de reforma sistemática</w:t>
      </w:r>
      <w:r>
        <w:rPr>
          <w:i/>
        </w:rPr>
        <w:t xml:space="preserve">”</w:t>
      </w:r>
      <w:r>
        <w:t xml:space="preserve">, distinto de la</w:t>
      </w:r>
      <w:r>
        <w:t xml:space="preserve"> </w:t>
      </w:r>
      <w:r>
        <w:t xml:space="preserve">integración, que es meramente</w:t>
      </w:r>
      <w:r>
        <w:t xml:space="preserve"> </w:t>
      </w:r>
      <w:r>
        <w:rPr>
          <w:i/>
        </w:rPr>
        <w:t xml:space="preserve">“</w:t>
      </w:r>
      <w:r>
        <w:rPr>
          <w:i/>
        </w:rPr>
        <w:t xml:space="preserve">el proceso de emplazar a las personas</w:t>
      </w:r>
      <w:r>
        <w:rPr>
          <w:i/>
        </w:rPr>
        <w:t xml:space="preserve">”</w:t>
      </w:r>
      <w:r>
        <w:t xml:space="preserve">. →</w:t>
      </w:r>
      <w:r>
        <w:t xml:space="preserve"> </w:t>
      </w:r>
      <w:r>
        <w:rPr>
          <w:b/>
        </w:rPr>
        <w:t xml:space="preserve">Estar matriculado</w:t>
      </w:r>
      <w:r>
        <w:rPr>
          <w:b/>
        </w:rPr>
        <w:t xml:space="preserve"> </w:t>
      </w:r>
      <w:r>
        <w:rPr>
          <w:b/>
        </w:rPr>
        <w:t xml:space="preserve">en el aula ordinaria no es estar incluido si no hay apoyos.</w:t>
      </w:r>
    </w:p>
    <w:p>
      <w:pPr>
        <w:pStyle w:val="BlockText"/>
      </w:pPr>
      <w:r>
        <w:rPr>
          <w:b/>
        </w:rPr>
        <w:t xml:space="preserve">Párrafo 32:</w:t>
      </w:r>
      <w:r>
        <w:t xml:space="preserve"> </w:t>
      </w:r>
      <w:r>
        <w:t xml:space="preserve">debe facilitarse</w:t>
      </w:r>
      <w:r>
        <w:t xml:space="preserve"> </w:t>
      </w:r>
      <w:r>
        <w:rPr>
          <w:i/>
        </w:rPr>
        <w:t xml:space="preserve">“</w:t>
      </w:r>
      <w:r>
        <w:rPr>
          <w:i/>
        </w:rPr>
        <w:t xml:space="preserve">apoyo continuo y personalizado</w:t>
      </w:r>
      <w:r>
        <w:rPr>
          <w:i/>
        </w:rPr>
        <w:t xml:space="preserve">”</w:t>
      </w:r>
      <w:r>
        <w:t xml:space="preserve">. → El apoyo debe ser</w:t>
      </w:r>
      <w:r>
        <w:t xml:space="preserve"> </w:t>
      </w:r>
      <w:r>
        <w:rPr>
          <w:b/>
        </w:rPr>
        <w:t xml:space="preserve">individualizado y continuado</w:t>
      </w:r>
      <w:r>
        <w:t xml:space="preserve">, no un recurso compartido a ratos ni una atención indirecta.</w:t>
      </w:r>
    </w:p>
    <w:p>
      <w:pPr>
        <w:pStyle w:val="FirstParagraph"/>
      </w:pPr>
      <w:r>
        <w:rPr>
          <w:b/>
        </w:rPr>
        <w:t xml:space="preserve">Antecedente que eleva el coste de denegar:</w:t>
      </w:r>
      <w:r>
        <w:t xml:space="preserve"> </w:t>
      </w:r>
      <w:r>
        <w:t xml:space="preserve">el Comité CDPD de Naciones Unidas declaró a España</w:t>
      </w:r>
      <w:r>
        <w:t xml:space="preserve"> </w:t>
      </w:r>
      <w:r>
        <w:t xml:space="preserve">autora de</w:t>
      </w:r>
      <w:r>
        <w:t xml:space="preserve"> </w:t>
      </w:r>
      <w:r>
        <w:rPr>
          <w:b/>
        </w:rPr>
        <w:t xml:space="preserve">violaciones graves y sistemáticas del artículo 24</w:t>
      </w:r>
      <w:r>
        <w:t xml:space="preserve"> </w:t>
      </w:r>
      <w:r>
        <w:t xml:space="preserve">en el informe de la investigación</w:t>
      </w:r>
      <w:r>
        <w:t xml:space="preserve"> </w:t>
      </w:r>
      <w:r>
        <w:t xml:space="preserve">tramitada al amparo del artículo 6 del Protocolo Facultativo,</w:t>
      </w:r>
      <w:r>
        <w:t xml:space="preserve"> </w:t>
      </w:r>
      <w:r>
        <w:rPr>
          <w:b/>
        </w:rPr>
        <w:t xml:space="preserve">documento CRPD/C/20/3, de 29 de</w:t>
      </w:r>
      <w:r>
        <w:rPr>
          <w:b/>
        </w:rPr>
        <w:t xml:space="preserve"> </w:t>
      </w:r>
      <w:r>
        <w:rPr>
          <w:b/>
        </w:rPr>
        <w:t xml:space="preserve">mayo de 2018</w:t>
      </w:r>
      <w:r>
        <w:t xml:space="preserve">. Y el Tribunal Supremo ha condenado al Estado a</w:t>
      </w:r>
      <w:r>
        <w:t xml:space="preserve"> </w:t>
      </w:r>
      <w:r>
        <w:rPr>
          <w:b/>
        </w:rPr>
        <w:t xml:space="preserve">indemnizar con 25.000 euros</w:t>
      </w:r>
      <w:r>
        <w:t xml:space="preserve"> </w:t>
      </w:r>
      <w:r>
        <w:t xml:space="preserve">a</w:t>
      </w:r>
      <w:r>
        <w:t xml:space="preserve"> </w:t>
      </w:r>
      <w:r>
        <w:t xml:space="preserve">una familia por una denegación de educación inclusiva previamente constatada por el Comité</w:t>
      </w:r>
      <w:r>
        <w:t xml:space="preserve"> </w:t>
      </w:r>
      <w:r>
        <w:t xml:space="preserve">(asunto Calleja).</w:t>
      </w:r>
    </w:p>
    <w:p>
      <w:pPr>
        <w:pStyle w:val="Heading3"/>
      </w:pPr>
      <w:bookmarkStart w:id="24" w:name="b.2-derecho-interno-estatal"/>
      <w:r>
        <w:t xml:space="preserve">B.2 Derecho interno estatal</w:t>
      </w:r>
      <w:bookmarkEnd w:id="24"/>
    </w:p>
    <w:p>
      <w:pPr>
        <w:pStyle w:val="FirstParagraph"/>
      </w:pPr>
      <w:r>
        <w:rPr>
          <w:b/>
        </w:rPr>
        <w:t xml:space="preserve">Ley Orgánica 2/2006, de 3 de mayo, de Educación</w:t>
      </w:r>
      <w:r>
        <w:t xml:space="preserve">, en su redacción vigente: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Art. 71.1</w:t>
      </w:r>
      <w:r>
        <w:t xml:space="preserve">: las Administraciones</w:t>
      </w:r>
      <w:r>
        <w:t xml:space="preserve"> </w:t>
      </w:r>
      <w:r>
        <w:rPr>
          <w:i/>
        </w:rPr>
        <w:t xml:space="preserve">“</w:t>
      </w:r>
      <w:r>
        <w:rPr>
          <w:i/>
        </w:rPr>
        <w:t xml:space="preserve">dispondrán los medios necesarios para que todo el</w:t>
      </w:r>
      <w:r>
        <w:rPr>
          <w:i/>
        </w:rPr>
        <w:t xml:space="preserve"> </w:t>
      </w:r>
      <w:r>
        <w:rPr>
          <w:i/>
        </w:rPr>
        <w:t xml:space="preserve">alumnado alcance el máximo desarrollo personal, intelectual, social y emocional</w:t>
      </w:r>
      <w:r>
        <w:rPr>
          <w:i/>
        </w:rPr>
        <w:t xml:space="preserve">”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Art. 71.2</w:t>
      </w:r>
      <w:r>
        <w:t xml:space="preserve">: obligación de</w:t>
      </w:r>
      <w:r>
        <w:t xml:space="preserve"> </w:t>
      </w:r>
      <w:r>
        <w:rPr>
          <w:b/>
        </w:rPr>
        <w:t xml:space="preserve">asegurar los recursos necesarios</w:t>
      </w:r>
      <w:r>
        <w:t xml:space="preserve"> </w:t>
      </w:r>
      <w:r>
        <w:t xml:space="preserve">para el alumnado que requiera</w:t>
      </w:r>
      <w:r>
        <w:t xml:space="preserve"> </w:t>
      </w:r>
      <w:r>
        <w:t xml:space="preserve">una atención educativa diferente a la ordinaria.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Art. 71.4</w:t>
      </w:r>
      <w:r>
        <w:t xml:space="preserve">: obligación de</w:t>
      </w:r>
      <w:r>
        <w:t xml:space="preserve"> </w:t>
      </w:r>
      <w:r>
        <w:rPr>
          <w:b/>
        </w:rPr>
        <w:t xml:space="preserve">asegurar la participación de los representantes legales</w:t>
      </w:r>
      <w:r>
        <w:t xml:space="preserve"> </w:t>
      </w:r>
      <w:r>
        <w:t xml:space="preserve">en las</w:t>
      </w:r>
      <w:r>
        <w:t xml:space="preserve"> </w:t>
      </w:r>
      <w:r>
        <w:t xml:space="preserve">decisiones que afecten a la escolarización y a los procesos educativos.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Art. 72.1</w:t>
      </w:r>
      <w:r>
        <w:t xml:space="preserve">: las Administraciones</w:t>
      </w:r>
      <w:r>
        <w:t xml:space="preserve"> </w:t>
      </w:r>
      <w:r>
        <w:rPr>
          <w:i/>
        </w:rPr>
        <w:t xml:space="preserve">“</w:t>
      </w:r>
      <w:r>
        <w:rPr>
          <w:i/>
        </w:rPr>
        <w:t xml:space="preserve">dispondrán del profesorado de las especialidades</w:t>
      </w:r>
      <w:r>
        <w:rPr>
          <w:i/>
        </w:rPr>
        <w:t xml:space="preserve"> </w:t>
      </w:r>
      <w:r>
        <w:rPr>
          <w:i/>
        </w:rPr>
        <w:t xml:space="preserve">correspondientes y de profesionales cualificados, así como de los medios y materiales</w:t>
      </w:r>
      <w:r>
        <w:rPr>
          <w:i/>
        </w:rPr>
        <w:t xml:space="preserve"> </w:t>
      </w:r>
      <w:r>
        <w:rPr>
          <w:i/>
        </w:rPr>
        <w:t xml:space="preserve">precisos</w:t>
      </w:r>
      <w:r>
        <w:rPr>
          <w:i/>
        </w:rPr>
        <w:t xml:space="preserve">”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Art. 72.2</w:t>
      </w:r>
      <w:r>
        <w:t xml:space="preserve"> </w:t>
      </w:r>
      <w:r>
        <w:t xml:space="preserve">—</w:t>
      </w:r>
      <w:r>
        <w:t xml:space="preserve"> </w:t>
      </w:r>
      <w:r>
        <w:rPr>
          <w:b/>
        </w:rPr>
        <w:t xml:space="preserve">PRECEPTO CENTRAL PARA UN CENTRO CONCERTADO</w:t>
      </w:r>
      <w:r>
        <w:t xml:space="preserve">:</w:t>
      </w:r>
      <w:r>
        <w:t xml:space="preserve"> </w:t>
      </w:r>
      <w:r>
        <w:rPr>
          <w:i/>
        </w:rPr>
        <w:t xml:space="preserve">“</w:t>
      </w:r>
      <w:r>
        <w:rPr>
          <w:i/>
        </w:rPr>
        <w:t xml:space="preserve">Corresponde a las</w:t>
      </w:r>
      <w:r>
        <w:rPr>
          <w:i/>
        </w:rPr>
        <w:t xml:space="preserve"> </w:t>
      </w:r>
      <w:r>
        <w:rPr>
          <w:i/>
        </w:rPr>
        <w:t xml:space="preserve">Administraciones educativas dotar a los centros de los recursos necesarios para atender</w:t>
      </w:r>
      <w:r>
        <w:rPr>
          <w:i/>
        </w:rPr>
        <w:t xml:space="preserve"> </w:t>
      </w:r>
      <w:r>
        <w:rPr>
          <w:i/>
        </w:rPr>
        <w:t xml:space="preserve">adecuadamente a este alumnado.</w:t>
      </w:r>
      <w:r>
        <w:rPr>
          <w:i/>
        </w:rPr>
        <w:t xml:space="preserve"> </w:t>
      </w:r>
      <w:r>
        <w:rPr>
          <w:b/>
          <w:i/>
        </w:rPr>
        <w:t xml:space="preserve">Los criterios para determinar estas dotaciones serán los</w:t>
      </w:r>
      <w:r>
        <w:rPr>
          <w:b/>
          <w:i/>
        </w:rPr>
        <w:t xml:space="preserve"> </w:t>
      </w:r>
      <w:r>
        <w:rPr>
          <w:b/>
          <w:i/>
        </w:rPr>
        <w:t xml:space="preserve">mismos para los centros públicos y privados concertados.</w:t>
      </w:r>
      <w:r>
        <w:rPr>
          <w:i/>
        </w:rPr>
        <w:t xml:space="preserve">”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Art. 73</w:t>
      </w:r>
      <w:r>
        <w:t xml:space="preserve">: se entiende por alumnado con necesidades educativas especiales</w:t>
      </w:r>
      <w:r>
        <w:t xml:space="preserve"> </w:t>
      </w:r>
      <w:r>
        <w:rPr>
          <w:i/>
        </w:rPr>
        <w:t xml:space="preserve">“</w:t>
      </w:r>
      <w:r>
        <w:rPr>
          <w:i/>
        </w:rPr>
        <w:t xml:space="preserve">aquel que afronta</w:t>
      </w:r>
      <w:r>
        <w:rPr>
          <w:i/>
        </w:rPr>
        <w:t xml:space="preserve"> </w:t>
      </w:r>
      <w:r>
        <w:rPr>
          <w:i/>
        </w:rPr>
        <w:t xml:space="preserve">barreras que limitan su acceso, presencia, participación o aprendizaje</w:t>
      </w:r>
      <w:r>
        <w:rPr>
          <w:i/>
        </w:rPr>
        <w:t xml:space="preserve">”</w:t>
      </w:r>
      <w:r>
        <w:t xml:space="preserve">. → El foco está en la</w:t>
      </w:r>
      <w:r>
        <w:t xml:space="preserve"> </w:t>
      </w:r>
      <w:r>
        <w:rPr>
          <w:b/>
        </w:rPr>
        <w:t xml:space="preserve">barrera</w:t>
      </w:r>
      <w:r>
        <w:t xml:space="preserve">, no en la etiqueta diagnóstica.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Art. 74.2</w:t>
      </w:r>
      <w:r>
        <w:t xml:space="preserve">: la identificación y valoración se hará por profesionales especialistas,</w:t>
      </w:r>
      <w:r>
        <w:t xml:space="preserve"> </w:t>
      </w:r>
      <w:r>
        <w:rPr>
          <w:i/>
        </w:rPr>
        <w:t xml:space="preserve">“</w:t>
      </w:r>
      <w:r>
        <w:rPr>
          <w:i/>
        </w:rPr>
        <w:t xml:space="preserve">siendo preceptivamente oídos e informados los padres, madres o tutores legales</w:t>
      </w:r>
      <w:r>
        <w:rPr>
          <w:i/>
        </w:rPr>
        <w:t xml:space="preserve">”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Art. 74.4</w:t>
      </w:r>
      <w:r>
        <w:t xml:space="preserve">: podrá establecerse una</w:t>
      </w:r>
      <w:r>
        <w:t xml:space="preserve"> </w:t>
      </w:r>
      <w:r>
        <w:rPr>
          <w:b/>
        </w:rPr>
        <w:t xml:space="preserve">relación numérica profesorado/alumnado inferior a la</w:t>
      </w:r>
      <w:r>
        <w:rPr>
          <w:b/>
        </w:rPr>
        <w:t xml:space="preserve"> </w:t>
      </w:r>
      <w:r>
        <w:rPr>
          <w:b/>
        </w:rPr>
        <w:t xml:space="preserve">general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Art. 74.5</w:t>
      </w:r>
      <w:r>
        <w:t xml:space="preserve">: obligación de proporcionar</w:t>
      </w:r>
      <w:r>
        <w:t xml:space="preserve"> </w:t>
      </w:r>
      <w:r>
        <w:rPr>
          <w:b/>
        </w:rPr>
        <w:t xml:space="preserve">recursos y apoyos complementarios</w:t>
      </w:r>
      <w:r>
        <w:t xml:space="preserve">.</w:t>
      </w:r>
    </w:p>
    <w:p>
      <w:pPr>
        <w:pStyle w:val="Heading3"/>
      </w:pPr>
      <w:bookmarkStart w:id="25" w:name="b.3-derecho-andaluz"/>
      <w:r>
        <w:t xml:space="preserve">B.3 Derecho andaluz</w:t>
      </w:r>
      <w:bookmarkEnd w:id="25"/>
    </w:p>
    <w:p>
      <w:pPr>
        <w:pStyle w:val="FirstParagraph"/>
      </w:pPr>
      <w:r>
        <w:rPr>
          <w:b/>
        </w:rPr>
        <w:t xml:space="preserve">Ley 17/2007, de 10 de diciembre, de Educación de Andalucía:</w:t>
      </w:r>
      <w:r>
        <w:t xml:space="preserve"> </w:t>
      </w:r>
      <w:r>
        <w:t xml:space="preserve">-</w:t>
      </w:r>
      <w:r>
        <w:t xml:space="preserve"> </w:t>
      </w:r>
      <w:r>
        <w:rPr>
          <w:b/>
        </w:rPr>
        <w:t xml:space="preserve">Art. 113.6</w:t>
      </w:r>
      <w:r>
        <w:t xml:space="preserve">: garantía de</w:t>
      </w:r>
      <w:r>
        <w:t xml:space="preserve"> </w:t>
      </w:r>
      <w:r>
        <w:rPr>
          <w:b/>
        </w:rPr>
        <w:t xml:space="preserve">distribución equilibrada</w:t>
      </w:r>
      <w:r>
        <w:t xml:space="preserve"> </w:t>
      </w:r>
      <w:r>
        <w:t xml:space="preserve">del alumnado con NEAE entre centros</w:t>
      </w:r>
      <w:r>
        <w:t xml:space="preserve"> </w:t>
      </w:r>
      <w:r>
        <w:t xml:space="preserve">públicos y concertados.</w:t>
      </w:r>
      <w:r>
        <w:t xml:space="preserve"> </w:t>
      </w:r>
      <w:r>
        <w:t xml:space="preserve">-</w:t>
      </w:r>
      <w:r>
        <w:t xml:space="preserve"> </w:t>
      </w:r>
      <w:r>
        <w:rPr>
          <w:b/>
        </w:rPr>
        <w:t xml:space="preserve">Art. 113.7</w:t>
      </w:r>
      <w:r>
        <w:t xml:space="preserve">:</w:t>
      </w:r>
      <w:r>
        <w:t xml:space="preserve"> </w:t>
      </w:r>
      <w:r>
        <w:rPr>
          <w:b/>
        </w:rPr>
        <w:t xml:space="preserve">flexibilidad organizativa y reducción de ratios</w:t>
      </w:r>
      <w:r>
        <w:t xml:space="preserve"> </w:t>
      </w:r>
      <w:r>
        <w:t xml:space="preserve">en función de las</w:t>
      </w:r>
      <w:r>
        <w:t xml:space="preserve"> </w:t>
      </w:r>
      <w:r>
        <w:t xml:space="preserve">necesidades.</w:t>
      </w:r>
      <w:r>
        <w:t xml:space="preserve"> </w:t>
      </w:r>
      <w:r>
        <w:t xml:space="preserve">-</w:t>
      </w:r>
      <w:r>
        <w:t xml:space="preserve"> </w:t>
      </w:r>
      <w:r>
        <w:rPr>
          <w:b/>
        </w:rPr>
        <w:t xml:space="preserve">Art. 116</w:t>
      </w:r>
      <w:r>
        <w:t xml:space="preserve">: la atención corresponde al profesorado y</w:t>
      </w:r>
      <w:r>
        <w:t xml:space="preserve"> </w:t>
      </w:r>
      <w:r>
        <w:rPr>
          <w:i/>
        </w:rPr>
        <w:t xml:space="preserve">“</w:t>
      </w:r>
      <w:r>
        <w:rPr>
          <w:i/>
        </w:rPr>
        <w:t xml:space="preserve">a otros profesionales con la debida</w:t>
      </w:r>
      <w:r>
        <w:rPr>
          <w:i/>
        </w:rPr>
        <w:t xml:space="preserve"> </w:t>
      </w:r>
      <w:r>
        <w:rPr>
          <w:i/>
        </w:rPr>
        <w:t xml:space="preserve">cualificación</w:t>
      </w:r>
      <w:r>
        <w:rPr>
          <w:i/>
        </w:rPr>
        <w:t xml:space="preserve">”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b/>
        </w:rPr>
        <w:t xml:space="preserve">Art. 117.1</w:t>
      </w:r>
      <w:r>
        <w:t xml:space="preserve">: los centros dispondrán de</w:t>
      </w:r>
      <w:r>
        <w:t xml:space="preserve"> </w:t>
      </w:r>
      <w:r>
        <w:rPr>
          <w:i/>
        </w:rPr>
        <w:t xml:space="preserve">“</w:t>
      </w:r>
      <w:r>
        <w:rPr>
          <w:i/>
        </w:rPr>
        <w:t xml:space="preserve">los medios, de los avances técnicos y de los</w:t>
      </w:r>
      <w:r>
        <w:rPr>
          <w:i/>
        </w:rPr>
        <w:t xml:space="preserve"> </w:t>
      </w:r>
      <w:r>
        <w:rPr>
          <w:i/>
        </w:rPr>
        <w:t xml:space="preserve">recursos específicos que permitan garantizar la escolarización de este alumnado en condiciones</w:t>
      </w:r>
      <w:r>
        <w:rPr>
          <w:i/>
        </w:rPr>
        <w:t xml:space="preserve"> </w:t>
      </w:r>
      <w:r>
        <w:rPr>
          <w:i/>
        </w:rPr>
        <w:t xml:space="preserve">adecuadas</w:t>
      </w:r>
      <w:r>
        <w:rPr>
          <w:i/>
        </w:rPr>
        <w:t xml:space="preserve">”</w:t>
      </w:r>
      <w:r>
        <w:t xml:space="preserve">.</w:t>
      </w:r>
      <w:r>
        <w:t xml:space="preserve"> </w:t>
      </w:r>
      <w:r>
        <w:rPr>
          <w:b/>
        </w:rPr>
        <w:t xml:space="preserve">Art. 117.2</w:t>
      </w:r>
      <w:r>
        <w:t xml:space="preserve">:</w:t>
      </w:r>
      <w:r>
        <w:t xml:space="preserve"> </w:t>
      </w:r>
      <w:r>
        <w:rPr>
          <w:b/>
        </w:rPr>
        <w:t xml:space="preserve">atención preferente</w:t>
      </w:r>
      <w:r>
        <w:t xml:space="preserve"> </w:t>
      </w:r>
      <w:r>
        <w:t xml:space="preserve">de los servicios de apoyo.</w:t>
      </w:r>
      <w:r>
        <w:t xml:space="preserve"> </w:t>
      </w:r>
      <w:r>
        <w:t xml:space="preserve">-</w:t>
      </w:r>
      <w:r>
        <w:t xml:space="preserve"> </w:t>
      </w:r>
      <w:r>
        <w:rPr>
          <w:b/>
        </w:rPr>
        <w:t xml:space="preserve">Art. 118</w:t>
      </w:r>
      <w:r>
        <w:t xml:space="preserve">:</w:t>
      </w:r>
      <w:r>
        <w:t xml:space="preserve"> </w:t>
      </w:r>
      <w:r>
        <w:rPr>
          <w:i/>
        </w:rPr>
        <w:t xml:space="preserve">“</w:t>
      </w:r>
      <w:r>
        <w:rPr>
          <w:i/>
        </w:rPr>
        <w:t xml:space="preserve">La Administración educativa financiará la atención educativa del alumnado con</w:t>
      </w:r>
      <w:r>
        <w:rPr>
          <w:i/>
        </w:rPr>
        <w:t xml:space="preserve"> </w:t>
      </w:r>
      <w:r>
        <w:rPr>
          <w:i/>
        </w:rPr>
        <w:t xml:space="preserve">necesidades específicas de apoyo educativo en los centros privados concertados, mediante la</w:t>
      </w:r>
      <w:r>
        <w:rPr>
          <w:i/>
        </w:rPr>
        <w:t xml:space="preserve"> </w:t>
      </w:r>
      <w:r>
        <w:rPr>
          <w:i/>
        </w:rPr>
        <w:t xml:space="preserve">concertación de unidades de apoyo a la integración o de educación especial.</w:t>
      </w:r>
      <w:r>
        <w:rPr>
          <w:i/>
        </w:rPr>
        <w:t xml:space="preserve">”</w:t>
      </w:r>
    </w:p>
    <w:p>
      <w:pPr>
        <w:pStyle w:val="BodyText"/>
      </w:pPr>
      <w:r>
        <w:rPr>
          <w:b/>
        </w:rPr>
        <w:t xml:space="preserve">Ley 9/1999, de 18 de noviembre, de Solidaridad en la Educación</w:t>
      </w:r>
      <w:r>
        <w:t xml:space="preserve"> </w:t>
      </w:r>
      <w:r>
        <w:t xml:space="preserve">— vigente.</w:t>
      </w:r>
    </w:p>
    <w:p>
      <w:pPr>
        <w:pStyle w:val="BodyText"/>
      </w:pPr>
      <w:r>
        <w:rPr>
          <w:b/>
        </w:rPr>
        <w:t xml:space="preserve">Decreto 147/2002, de 14 de mayo</w:t>
      </w:r>
      <w:r>
        <w:t xml:space="preserve"> </w:t>
      </w:r>
      <w:r>
        <w:t xml:space="preserve">(BOJA núm. 58), aplicable a</w:t>
      </w:r>
      <w:r>
        <w:t xml:space="preserve"> </w:t>
      </w:r>
      <w:r>
        <w:rPr>
          <w:b/>
        </w:rPr>
        <w:t xml:space="preserve">todos los centros sostenidos</w:t>
      </w:r>
      <w:r>
        <w:rPr>
          <w:b/>
        </w:rPr>
        <w:t xml:space="preserve"> </w:t>
      </w:r>
      <w:r>
        <w:rPr>
          <w:b/>
        </w:rPr>
        <w:t xml:space="preserve">con fondos públicos</w:t>
      </w:r>
      <w:r>
        <w:t xml:space="preserve">, concertados incluidos (art. 2):</w:t>
      </w:r>
      <w:r>
        <w:t xml:space="preserve"> </w:t>
      </w:r>
      <w:r>
        <w:t xml:space="preserve">-</w:t>
      </w:r>
      <w:r>
        <w:t xml:space="preserve"> </w:t>
      </w:r>
      <w:r>
        <w:rPr>
          <w:b/>
        </w:rPr>
        <w:t xml:space="preserve">Art. 7.2</w:t>
      </w:r>
      <w:r>
        <w:t xml:space="preserve">: el dictamen contiene la</w:t>
      </w:r>
      <w:r>
        <w:t xml:space="preserve"> </w:t>
      </w:r>
      <w:r>
        <w:rPr>
          <w:b/>
        </w:rPr>
        <w:t xml:space="preserve">propuesta razonada de las ayudas, los apoyos y las</w:t>
      </w:r>
      <w:r>
        <w:rPr>
          <w:b/>
        </w:rPr>
        <w:t xml:space="preserve"> </w:t>
      </w:r>
      <w:r>
        <w:rPr>
          <w:b/>
        </w:rPr>
        <w:t xml:space="preserve">adaptaciones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b/>
        </w:rPr>
        <w:t xml:space="preserve">Art. 9.1 y 9.2</w:t>
      </w:r>
      <w:r>
        <w:t xml:space="preserve">: el número y cualificación del profesorado especializado se determina</w:t>
      </w:r>
      <w:r>
        <w:t xml:space="preserve"> </w:t>
      </w:r>
      <w:r>
        <w:rPr>
          <w:i/>
        </w:rPr>
        <w:t xml:space="preserve">“</w:t>
      </w:r>
      <w:r>
        <w:rPr>
          <w:i/>
        </w:rPr>
        <w:t xml:space="preserve">según número de alumnos, tipo y grado de discapacidad</w:t>
      </w:r>
      <w:r>
        <w:rPr>
          <w:i/>
        </w:rPr>
        <w:t xml:space="preserve">”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b/>
        </w:rPr>
        <w:t xml:space="preserve">Disposición Adicional Segunda</w:t>
      </w:r>
      <w:r>
        <w:t xml:space="preserve">: financiación en concertados mediante concertación de</w:t>
      </w:r>
      <w:r>
        <w:t xml:space="preserve"> </w:t>
      </w:r>
      <w:r>
        <w:t xml:space="preserve">unidades de apoyo a la integración.</w:t>
      </w:r>
    </w:p>
    <w:p>
      <w:pPr>
        <w:pStyle w:val="BodyText"/>
      </w:pPr>
      <w:r>
        <w:rPr>
          <w:b/>
        </w:rPr>
        <w:t xml:space="preserve">Orden de 19 de septiembre de 2002</w:t>
      </w:r>
      <w:r>
        <w:t xml:space="preserve"> </w:t>
      </w:r>
      <w:r>
        <w:t xml:space="preserve">(BOJA núm. 125), sobre evaluación psicopedagógica y</w:t>
      </w:r>
      <w:r>
        <w:t xml:space="preserve"> </w:t>
      </w:r>
      <w:r>
        <w:t xml:space="preserve">dictamen de escolarización:</w:t>
      </w:r>
      <w:r>
        <w:t xml:space="preserve"> </w:t>
      </w:r>
      <w:r>
        <w:t xml:space="preserve">-</w:t>
      </w:r>
      <w:r>
        <w:t xml:space="preserve"> </w:t>
      </w:r>
      <w:r>
        <w:rPr>
          <w:b/>
        </w:rPr>
        <w:t xml:space="preserve">Art. 3</w:t>
      </w:r>
      <w:r>
        <w:t xml:space="preserve">: la evaluación es</w:t>
      </w:r>
      <w:r>
        <w:t xml:space="preserve"> </w:t>
      </w:r>
      <w:r>
        <w:rPr>
          <w:b/>
        </w:rPr>
        <w:t xml:space="preserve">participativa</w:t>
      </w:r>
      <w:r>
        <w:t xml:space="preserve">, con aportación de los representantes legales.</w:t>
      </w:r>
      <w:r>
        <w:t xml:space="preserve"> </w:t>
      </w:r>
      <w:r>
        <w:t xml:space="preserve">-</w:t>
      </w:r>
      <w:r>
        <w:t xml:space="preserve"> </w:t>
      </w:r>
      <w:r>
        <w:rPr>
          <w:b/>
        </w:rPr>
        <w:t xml:space="preserve">Art. 6</w:t>
      </w:r>
      <w:r>
        <w:t xml:space="preserve">: el informe se integra en el expediente y</w:t>
      </w:r>
      <w:r>
        <w:t xml:space="preserve"> </w:t>
      </w:r>
      <w:r>
        <w:rPr>
          <w:b/>
        </w:rPr>
        <w:t xml:space="preserve">se garantiza el acceso a los</w:t>
      </w:r>
      <w:r>
        <w:rPr>
          <w:b/>
        </w:rPr>
        <w:t xml:space="preserve"> </w:t>
      </w:r>
      <w:r>
        <w:rPr>
          <w:b/>
        </w:rPr>
        <w:t xml:space="preserve">representantes legales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b/>
        </w:rPr>
        <w:t xml:space="preserve">Art. 7</w:t>
      </w:r>
      <w:r>
        <w:t xml:space="preserve">: el dictamen lo elabora el</w:t>
      </w:r>
      <w:r>
        <w:t xml:space="preserve"> </w:t>
      </w:r>
      <w:r>
        <w:rPr>
          <w:b/>
        </w:rPr>
        <w:t xml:space="preserve">Equipo de Orientación Educativa de zona</w:t>
      </w:r>
      <w:r>
        <w:t xml:space="preserve"> </w:t>
      </w:r>
      <w:r>
        <w:t xml:space="preserve">y se traslada</w:t>
      </w:r>
      <w:r>
        <w:t xml:space="preserve"> </w:t>
      </w:r>
      <w:r>
        <w:t xml:space="preserve">al</w:t>
      </w:r>
      <w:r>
        <w:t xml:space="preserve"> </w:t>
      </w:r>
      <w:r>
        <w:rPr>
          <w:b/>
        </w:rPr>
        <w:t xml:space="preserve">Servicio de Inspección</w:t>
      </w:r>
      <w:r>
        <w:t xml:space="preserve">,</w:t>
      </w:r>
      <w:r>
        <w:t xml:space="preserve"> </w:t>
      </w:r>
      <w:r>
        <w:rPr>
          <w:b/>
        </w:rPr>
        <w:t xml:space="preserve">incluyendo la opinión escrita de los representantes legales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b/>
        </w:rPr>
        <w:t xml:space="preserve">Art. 8</w:t>
      </w:r>
      <w:r>
        <w:t xml:space="preserve"> </w:t>
      </w:r>
      <w:r>
        <w:t xml:space="preserve">—</w:t>
      </w:r>
      <w:r>
        <w:t xml:space="preserve"> </w:t>
      </w:r>
      <w:r>
        <w:rPr>
          <w:b/>
        </w:rPr>
        <w:t xml:space="preserve">BASE DE LEGITIMACIÓN DE LA FAMILIA</w:t>
      </w:r>
      <w:r>
        <w:t xml:space="preserve">: procede</w:t>
      </w:r>
      <w:r>
        <w:t xml:space="preserve"> </w:t>
      </w:r>
      <w:r>
        <w:rPr>
          <w:b/>
        </w:rPr>
        <w:t xml:space="preserve">revisión extraordinaria</w:t>
      </w:r>
      <w:r>
        <w:t xml:space="preserve"> </w:t>
      </w:r>
      <w:r>
        <w:t xml:space="preserve">del</w:t>
      </w:r>
      <w:r>
        <w:t xml:space="preserve"> </w:t>
      </w:r>
      <w:r>
        <w:t xml:space="preserve">dictamen cuando se produzca una</w:t>
      </w:r>
      <w:r>
        <w:t xml:space="preserve"> </w:t>
      </w:r>
      <w:r>
        <w:rPr>
          <w:b/>
        </w:rPr>
        <w:t xml:space="preserve">variación significativa</w:t>
      </w:r>
      <w:r>
        <w:t xml:space="preserve">,</w:t>
      </w:r>
      <w:r>
        <w:t xml:space="preserve"> </w:t>
      </w:r>
      <w:r>
        <w:rPr>
          <w:b/>
        </w:rPr>
        <w:t xml:space="preserve">a petición de los representantes</w:t>
      </w:r>
      <w:r>
        <w:rPr>
          <w:b/>
        </w:rPr>
        <w:t xml:space="preserve"> </w:t>
      </w:r>
      <w:r>
        <w:rPr>
          <w:b/>
        </w:rPr>
        <w:t xml:space="preserve">legales</w:t>
      </w:r>
      <w:r>
        <w:t xml:space="preserve">, debidamente motivada.</w:t>
      </w:r>
    </w:p>
    <w:p>
      <w:pPr>
        <w:pStyle w:val="BodyText"/>
      </w:pPr>
      <w:r>
        <w:rPr>
          <w:b/>
        </w:rPr>
        <w:t xml:space="preserve">Órdenes de 30 de mayo de 2023</w:t>
      </w:r>
      <w:r>
        <w:t xml:space="preserve"> </w:t>
      </w:r>
      <w:r>
        <w:t xml:space="preserve">(BOJA núm. 104), que regulan la atención a la diversidad por</w:t>
      </w:r>
      <w:r>
        <w:t xml:space="preserve"> </w:t>
      </w:r>
      <w:r>
        <w:t xml:space="preserve">etapas — la de</w:t>
      </w:r>
      <w:r>
        <w:t xml:space="preserve"> </w:t>
      </w:r>
      <w:r>
        <w:rPr>
          <w:b/>
        </w:rPr>
        <w:t xml:space="preserve">Educación Primaria</w:t>
      </w:r>
      <w:r>
        <w:t xml:space="preserve"> </w:t>
      </w:r>
      <w:r>
        <w:t xml:space="preserve">en https://www.juntadeandalucia.es/boja/2023/104/39,</w:t>
      </w:r>
      <w:r>
        <w:t xml:space="preserve"> </w:t>
      </w:r>
      <w:r>
        <w:t xml:space="preserve">modificada por la</w:t>
      </w:r>
      <w:r>
        <w:t xml:space="preserve"> </w:t>
      </w:r>
      <w:r>
        <w:rPr>
          <w:b/>
        </w:rPr>
        <w:t xml:space="preserve">Orden de 31 de agosto de 2026</w:t>
      </w:r>
      <w:r>
        <w:t xml:space="preserve"> </w:t>
      </w:r>
      <w:r>
        <w:t xml:space="preserve">(BOJA núm. 168, Complementario n.º 3):</w:t>
      </w:r>
      <w:r>
        <w:t xml:space="preserve"> </w:t>
      </w:r>
      <w:r>
        <w:t xml:space="preserve">-</w:t>
      </w:r>
      <w:r>
        <w:t xml:space="preserve"> </w:t>
      </w:r>
      <w:r>
        <w:rPr>
          <w:b/>
        </w:rPr>
        <w:t xml:space="preserve">Art. 27</w:t>
      </w:r>
      <w:r>
        <w:t xml:space="preserve">: medidas generales, entre ellas el</w:t>
      </w:r>
      <w:r>
        <w:t xml:space="preserve"> </w:t>
      </w:r>
      <w:r>
        <w:rPr>
          <w:b/>
        </w:rPr>
        <w:t xml:space="preserve">apoyo en el aula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b/>
        </w:rPr>
        <w:t xml:space="preserve">Art. 33</w:t>
      </w:r>
      <w:r>
        <w:t xml:space="preserve">: medidas específicas, aplicables cuando las generales resulten insuficientes;</w:t>
      </w:r>
      <w:r>
        <w:t xml:space="preserve"> </w:t>
      </w:r>
      <w:r>
        <w:rPr>
          <w:b/>
        </w:rPr>
        <w:t xml:space="preserve">requieren evaluación psicopedagógica previa</w:t>
      </w:r>
      <w:r>
        <w:t xml:space="preserve">. El</w:t>
      </w:r>
      <w:r>
        <w:t xml:space="preserve"> </w:t>
      </w:r>
      <w:r>
        <w:rPr>
          <w:b/>
        </w:rPr>
        <w:t xml:space="preserve">art. 33.3.a)</w:t>
      </w:r>
      <w:r>
        <w:t xml:space="preserve"> </w:t>
      </w:r>
      <w:r>
        <w:t xml:space="preserve">contempla expresamente el</w:t>
      </w:r>
      <w:r>
        <w:t xml:space="preserve"> </w:t>
      </w:r>
      <w:r>
        <w:rPr>
          <w:i/>
        </w:rPr>
        <w:t xml:space="preserve">“</w:t>
      </w:r>
      <w:r>
        <w:rPr>
          <w:i/>
        </w:rPr>
        <w:t xml:space="preserve">profesorado especialista de Pedagogía Terapéutica o Audición y Lenguaje</w:t>
      </w:r>
      <w:r>
        <w:rPr>
          <w:i/>
        </w:rPr>
        <w:t xml:space="preserve">”</w:t>
      </w:r>
      <w:r>
        <w:t xml:space="preserve"> </w:t>
      </w:r>
      <w:r>
        <w:t xml:space="preserve">prestando apoyo</w:t>
      </w:r>
      <w:r>
        <w:t xml:space="preserve"> </w:t>
      </w:r>
      <w:r>
        <w:rPr>
          <w:b/>
        </w:rPr>
        <w:t xml:space="preserve">dentro del aula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b/>
        </w:rPr>
        <w:t xml:space="preserve">Art. 36</w:t>
      </w:r>
      <w:r>
        <w:t xml:space="preserve">: adaptaciones curriculares significativas.</w:t>
      </w:r>
    </w:p>
    <w:p>
      <w:pPr>
        <w:pStyle w:val="BodyText"/>
      </w:pPr>
      <w:r>
        <w:rPr>
          <w:b/>
        </w:rPr>
        <w:t xml:space="preserve">Instrucciones de 8 de marzo de 2017, de la Dirección General de Participación y Equidad</w:t>
      </w:r>
      <w:r>
        <w:t xml:space="preserve">, por</w:t>
      </w:r>
      <w:r>
        <w:t xml:space="preserve"> </w:t>
      </w:r>
      <w:r>
        <w:t xml:space="preserve">las que se actualiza el protocolo de detección, identificación del alumnado con necesidades</w:t>
      </w:r>
      <w:r>
        <w:t xml:space="preserve"> </w:t>
      </w:r>
      <w:r>
        <w:t xml:space="preserve">específicas de apoyo educativo y organización de la respuesta educativa.</w:t>
      </w:r>
      <w:r>
        <w:t xml:space="preserve"> </w:t>
      </w:r>
      <w:r>
        <w:rPr>
          <w:b/>
        </w:rPr>
        <w:t xml:space="preserve">Protocolo vigente.</w:t>
      </w:r>
    </w:p>
    <w:p>
      <w:pPr>
        <w:pStyle w:val="BodyText"/>
      </w:pPr>
      <w:r>
        <w:rPr>
          <w:b/>
        </w:rPr>
        <w:t xml:space="preserve">Recursos personales previstos en Andalucía:</w:t>
      </w:r>
      <w:r>
        <w:t xml:space="preserve"> </w:t>
      </w:r>
      <w:r>
        <w:t xml:space="preserve">maestro/a de</w:t>
      </w:r>
      <w:r>
        <w:t xml:space="preserve"> </w:t>
      </w:r>
      <w:r>
        <w:rPr>
          <w:b/>
        </w:rPr>
        <w:t xml:space="preserve">Pedagogía Terapéutica (PT)</w:t>
      </w:r>
      <w:r>
        <w:t xml:space="preserve">,</w:t>
      </w:r>
      <w:r>
        <w:t xml:space="preserve"> </w:t>
      </w:r>
      <w:r>
        <w:t xml:space="preserve">maestro/a de</w:t>
      </w:r>
      <w:r>
        <w:t xml:space="preserve"> </w:t>
      </w:r>
      <w:r>
        <w:rPr>
          <w:b/>
        </w:rPr>
        <w:t xml:space="preserve">Audición y Lenguaje (AL)</w:t>
      </w:r>
      <w:r>
        <w:t xml:space="preserve">,</w:t>
      </w:r>
      <w:r>
        <w:t xml:space="preserve"> </w:t>
      </w:r>
      <w:r>
        <w:rPr>
          <w:b/>
        </w:rPr>
        <w:t xml:space="preserve">Personal Técnico de Integración Social (PTIS)</w:t>
      </w:r>
      <w:r>
        <w:t xml:space="preserve"> </w:t>
      </w:r>
      <w:r>
        <w:t xml:space="preserve">—antiguo monitor/a de educación especial—, educador/a y</w:t>
      </w:r>
      <w:r>
        <w:t xml:space="preserve"> </w:t>
      </w:r>
      <w:r>
        <w:rPr>
          <w:b/>
        </w:rPr>
        <w:t xml:space="preserve">PTILS</w:t>
      </w:r>
      <w:r>
        <w:t xml:space="preserve"> </w:t>
      </w:r>
      <w:r>
        <w:t xml:space="preserve">(intérprete de lengua de</w:t>
      </w:r>
      <w:r>
        <w:t xml:space="preserve"> </w:t>
      </w:r>
      <w:r>
        <w:t xml:space="preserve">signos).</w:t>
      </w:r>
    </w:p>
    <w:p>
      <w:pPr>
        <w:pStyle w:val="Heading3"/>
      </w:pPr>
      <w:bookmarkStart w:id="26" w:name="b.4-derecho-procedimental"/>
      <w:r>
        <w:t xml:space="preserve">B.4 Derecho procedimental</w:t>
      </w:r>
      <w:bookmarkEnd w:id="26"/>
    </w:p>
    <w:p>
      <w:pPr>
        <w:pStyle w:val="FirstParagraph"/>
      </w:pPr>
      <w:r>
        <w:rPr>
          <w:b/>
        </w:rPr>
        <w:t xml:space="preserve">Ley 39/2015, de 1 de octubre, del Procedimiento Administrativo Común:</w:t>
      </w:r>
      <w:r>
        <w:t xml:space="preserve"> </w:t>
      </w:r>
      <w:r>
        <w:t xml:space="preserve">-</w:t>
      </w:r>
      <w:r>
        <w:t xml:space="preserve"> </w:t>
      </w:r>
      <w:r>
        <w:rPr>
          <w:b/>
        </w:rPr>
        <w:t xml:space="preserve">Art. 21</w:t>
      </w:r>
      <w:r>
        <w:t xml:space="preserve">:</w:t>
      </w:r>
      <w:r>
        <w:t xml:space="preserve"> </w:t>
      </w:r>
      <w:r>
        <w:rPr>
          <w:b/>
        </w:rPr>
        <w:t xml:space="preserve">obligación de dictar resolución expresa y notificarla</w:t>
      </w:r>
      <w:r>
        <w:t xml:space="preserve"> </w:t>
      </w:r>
      <w:r>
        <w:t xml:space="preserve">en todos los</w:t>
      </w:r>
      <w:r>
        <w:t xml:space="preserve"> </w:t>
      </w:r>
      <w:r>
        <w:t xml:space="preserve">procedimientos. Plazo supletorio de</w:t>
      </w:r>
      <w:r>
        <w:t xml:space="preserve"> </w:t>
      </w:r>
      <w:r>
        <w:rPr>
          <w:b/>
        </w:rPr>
        <w:t xml:space="preserve">tres meses</w:t>
      </w:r>
      <w:r>
        <w:t xml:space="preserve"> </w:t>
      </w:r>
      <w:r>
        <w:t xml:space="preserve">cuando la norma reguladora no fije otro,</w:t>
      </w:r>
      <w:r>
        <w:t xml:space="preserve"> </w:t>
      </w:r>
      <w:r>
        <w:t xml:space="preserve">computado desde la entrada de la solicitud en el registro.</w:t>
      </w:r>
      <w:r>
        <w:t xml:space="preserve"> </w:t>
      </w:r>
      <w:r>
        <w:t xml:space="preserve">-</w:t>
      </w:r>
      <w:r>
        <w:t xml:space="preserve"> </w:t>
      </w:r>
      <w:r>
        <w:rPr>
          <w:b/>
        </w:rPr>
        <w:t xml:space="preserve">Art. 35</w:t>
      </w:r>
      <w:r>
        <w:t xml:space="preserve">: obligación de</w:t>
      </w:r>
      <w:r>
        <w:t xml:space="preserve"> </w:t>
      </w:r>
      <w:r>
        <w:rPr>
          <w:b/>
        </w:rPr>
        <w:t xml:space="preserve">motivar</w:t>
      </w:r>
      <w:r>
        <w:t xml:space="preserve"> </w:t>
      </w:r>
      <w:r>
        <w:t xml:space="preserve">los actos que limiten derechos subjetivos o intereses</w:t>
      </w:r>
      <w:r>
        <w:t xml:space="preserve"> </w:t>
      </w:r>
      <w:r>
        <w:t xml:space="preserve">legítimos.</w:t>
      </w:r>
      <w:r>
        <w:t xml:space="preserve"> </w:t>
      </w:r>
      <w:r>
        <w:t xml:space="preserve">-</w:t>
      </w:r>
      <w:r>
        <w:t xml:space="preserve"> </w:t>
      </w:r>
      <w:r>
        <w:rPr>
          <w:b/>
        </w:rPr>
        <w:t xml:space="preserve">Art. 53.1.a)</w:t>
      </w:r>
      <w:r>
        <w:t xml:space="preserve">: derecho del interesado a</w:t>
      </w:r>
      <w:r>
        <w:t xml:space="preserve"> </w:t>
      </w:r>
      <w:r>
        <w:rPr>
          <w:b/>
        </w:rPr>
        <w:t xml:space="preserve">acceder y obtener copia</w:t>
      </w:r>
      <w:r>
        <w:t xml:space="preserve"> </w:t>
      </w:r>
      <w:r>
        <w:t xml:space="preserve">de los documentos</w:t>
      </w:r>
      <w:r>
        <w:t xml:space="preserve"> </w:t>
      </w:r>
      <w:r>
        <w:t xml:space="preserve">contenidos en el procedimiento.</w:t>
      </w:r>
      <w:r>
        <w:t xml:space="preserve"> </w:t>
      </w:r>
      <w:r>
        <w:t xml:space="preserve">-</w:t>
      </w:r>
      <w:r>
        <w:t xml:space="preserve"> </w:t>
      </w:r>
      <w:r>
        <w:rPr>
          <w:b/>
        </w:rPr>
        <w:t xml:space="preserve">Art. 66</w:t>
      </w:r>
      <w:r>
        <w:t xml:space="preserve">: requisitos de las solicitudes de iniciación.</w:t>
      </w:r>
    </w:p>
    <w:p>
      <w:pPr>
        <w:pStyle w:val="BlockText"/>
      </w:pPr>
      <w:r>
        <w:rPr>
          <w:b/>
        </w:rPr>
        <w:t xml:space="preserve">ADVERTENCIA DE TÉCNICA PROCESAL.</w:t>
      </w:r>
      <w:r>
        <w:t xml:space="preserve"> </w:t>
      </w:r>
      <w:r>
        <w:t xml:space="preserve">Los escritos se articulan como</w:t>
      </w:r>
      <w:r>
        <w:t xml:space="preserve"> </w:t>
      </w:r>
      <w:r>
        <w:rPr>
          <w:b/>
        </w:rPr>
        <w:t xml:space="preserve">solicitud de iniciación</w:t>
      </w:r>
      <w:r>
        <w:rPr>
          <w:b/>
        </w:rPr>
        <w:t xml:space="preserve"> </w:t>
      </w:r>
      <w:r>
        <w:rPr>
          <w:b/>
        </w:rPr>
        <w:t xml:space="preserve">de procedimiento administrativo (art. 66)</w:t>
      </w:r>
      <w:r>
        <w:t xml:space="preserve">, invocando la normativa educativa sustantiva, y</w:t>
      </w:r>
      <w:r>
        <w:t xml:space="preserve"> </w:t>
      </w:r>
      <w:r>
        <w:rPr>
          <w:b/>
        </w:rPr>
        <w:t xml:space="preserve">NUNCA como ejercicio del derecho de petición</w:t>
      </w:r>
      <w:r>
        <w:t xml:space="preserve"> </w:t>
      </w:r>
      <w:r>
        <w:t xml:space="preserve">de la Ley Orgánica 4/2001. Motivo: el</w:t>
      </w:r>
      <w:r>
        <w:t xml:space="preserve"> </w:t>
      </w:r>
      <w:r>
        <w:rPr>
          <w:b/>
        </w:rPr>
        <w:t xml:space="preserve">art. 24.1 de la Ley 39/2015</w:t>
      </w:r>
      <w:r>
        <w:t xml:space="preserve"> </w:t>
      </w:r>
      <w:r>
        <w:t xml:space="preserve">excluye el derecho de petición del silencio estimatorio. En el</w:t>
      </w:r>
      <w:r>
        <w:t xml:space="preserve"> </w:t>
      </w:r>
      <w:r>
        <w:t xml:space="preserve">derecho de petición el silencio es</w:t>
      </w:r>
      <w:r>
        <w:t xml:space="preserve"> </w:t>
      </w:r>
      <w:r>
        <w:rPr>
          <w:b/>
        </w:rPr>
        <w:t xml:space="preserve">negativo</w:t>
      </w:r>
      <w:r>
        <w:t xml:space="preserve">; en la solicitud ordinaria juega, en principio,</w:t>
      </w:r>
      <w:r>
        <w:t xml:space="preserve"> </w:t>
      </w:r>
      <w:r>
        <w:t xml:space="preserve">a favor del solicitante.</w:t>
      </w:r>
      <w:r>
        <w:t xml:space="preserve"> </w:t>
      </w:r>
      <w:r>
        <w:rPr>
          <w:b/>
        </w:rPr>
        <w:t xml:space="preserve">No usar nunca la palabra</w:t>
      </w:r>
      <w:r>
        <w:rPr>
          <w:b/>
        </w:rPr>
        <w:t xml:space="preserve"> </w:t>
      </w:r>
      <w:r>
        <w:rPr>
          <w:b/>
        </w:rPr>
        <w:t xml:space="preserve">“</w:t>
      </w:r>
      <w:r>
        <w:rPr>
          <w:b/>
        </w:rPr>
        <w:t xml:space="preserve">petición</w:t>
      </w:r>
      <w:r>
        <w:rPr>
          <w:b/>
        </w:rPr>
        <w:t xml:space="preserve">”</w:t>
      </w:r>
      <w:r>
        <w:rPr>
          <w:b/>
        </w:rPr>
        <w:t xml:space="preserve"> </w:t>
      </w:r>
      <w:r>
        <w:rPr>
          <w:b/>
        </w:rPr>
        <w:t xml:space="preserve">como calificación del escrito.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7" w:name="c.-bloque-jurisprudencial-para-copiar"/>
      <w:r>
        <w:t xml:space="preserve">C. BLOQUE JURISPRUDENCIAL — para copiar</w:t>
      </w:r>
      <w:bookmarkEnd w:id="27"/>
    </w:p>
    <w:p>
      <w:pPr>
        <w:pStyle w:val="Heading3"/>
      </w:pPr>
      <w:bookmarkStart w:id="28" w:name="c.1-tribunal-constitucional"/>
      <w:r>
        <w:t xml:space="preserve">C.1 Tribunal Constitucional</w:t>
      </w:r>
      <w:bookmarkEnd w:id="28"/>
    </w:p>
    <w:p>
      <w:pPr>
        <w:pStyle w:val="FirstParagraph"/>
      </w:pPr>
      <w:r>
        <w:rPr>
          <w:b/>
        </w:rPr>
        <w:t xml:space="preserve">STC 10/2014, de 27 de enero</w:t>
      </w:r>
      <w:r>
        <w:t xml:space="preserve"> </w:t>
      </w:r>
      <w:r>
        <w:t xml:space="preserve">(Sala Primera, recurso de amparo 6868-2012, BOE-A-2014-2058).</w:t>
      </w:r>
      <w:r>
        <w:t xml:space="preserve"> </w:t>
      </w:r>
      <w:r>
        <w:rPr>
          <w:b/>
        </w:rPr>
        <w:t xml:space="preserve">Fundamento Jurídico 4:</w:t>
      </w:r>
    </w:p>
    <w:p>
      <w:pPr>
        <w:pStyle w:val="BlockText"/>
      </w:pPr>
      <w:r>
        <w:rPr>
          <w:i/>
        </w:rPr>
        <w:t xml:space="preserve">“</w:t>
      </w:r>
      <w:r>
        <w:rPr>
          <w:i/>
        </w:rPr>
        <w:t xml:space="preserve">La educación debe ser inclusiva, es decir, se debe promover la escolarización de los menores</w:t>
      </w:r>
      <w:r>
        <w:rPr>
          <w:i/>
        </w:rPr>
        <w:t xml:space="preserve"> </w:t>
      </w:r>
      <w:r>
        <w:rPr>
          <w:i/>
        </w:rPr>
        <w:t xml:space="preserve">en un centro de educación ordinaria, proporcionándoseles los apoyos necesarios.</w:t>
      </w:r>
      <w:r>
        <w:rPr>
          <w:i/>
        </w:rPr>
        <w:t xml:space="preserve">”</w:t>
      </w:r>
      <w:r>
        <w:t xml:space="preserve"> </w:t>
      </w:r>
      <w:r>
        <w:rPr>
          <w:i/>
        </w:rPr>
        <w:t xml:space="preserve">“</w:t>
      </w:r>
      <w:r>
        <w:rPr>
          <w:i/>
        </w:rPr>
        <w:t xml:space="preserve">Tan sólo cuando los ajustes que deba realizar para dicha inclusión sean desproporcionados o</w:t>
      </w:r>
      <w:r>
        <w:rPr>
          <w:i/>
        </w:rPr>
        <w:t xml:space="preserve"> </w:t>
      </w:r>
      <w:r>
        <w:rPr>
          <w:i/>
        </w:rPr>
        <w:t xml:space="preserve">no razonables, podrá disponer la escolarización de estos alumnos en centros de educación</w:t>
      </w:r>
      <w:r>
        <w:rPr>
          <w:i/>
        </w:rPr>
        <w:t xml:space="preserve"> </w:t>
      </w:r>
      <w:r>
        <w:rPr>
          <w:i/>
        </w:rPr>
        <w:t xml:space="preserve">especial</w:t>
      </w:r>
      <w:r>
        <w:rPr>
          <w:i/>
        </w:rPr>
        <w:t xml:space="preserve">”</w:t>
      </w:r>
      <w:r>
        <w:t xml:space="preserve">, y cuando así lo haga</w:t>
      </w:r>
      <w:r>
        <w:t xml:space="preserve"> </w:t>
      </w:r>
      <w:r>
        <w:rPr>
          <w:i/>
        </w:rPr>
        <w:t xml:space="preserve">“</w:t>
      </w:r>
      <w:r>
        <w:rPr>
          <w:i/>
        </w:rPr>
        <w:t xml:space="preserve">dicha Administración deberá exteriorizar los motivos</w:t>
      </w:r>
      <w:r>
        <w:rPr>
          <w:i/>
        </w:rPr>
        <w:t xml:space="preserve">”</w:t>
      </w:r>
      <w:r>
        <w:t xml:space="preserve">.</w:t>
      </w:r>
    </w:p>
    <w:p>
      <w:pPr>
        <w:pStyle w:val="BlockText"/>
      </w:pPr>
      <w:r>
        <w:t xml:space="preserve">⚠</w:t>
      </w:r>
      <w:r>
        <w:t xml:space="preserve"> </w:t>
      </w:r>
      <w:r>
        <w:rPr>
          <w:b/>
        </w:rPr>
        <w:t xml:space="preserve">PRECAUCIÓN OBLIGATORIA DE CITA.</w:t>
      </w:r>
      <w:r>
        <w:t xml:space="preserve"> </w:t>
      </w:r>
      <w:r>
        <w:rPr>
          <w:b/>
        </w:rPr>
        <w:t xml:space="preserve">El amparo fue DENEGADO.</w:t>
      </w:r>
      <w:r>
        <w:t xml:space="preserve"> </w:t>
      </w:r>
      <w:r>
        <w:t xml:space="preserve">Citarla como sentencia</w:t>
      </w:r>
      <w:r>
        <w:t xml:space="preserve"> </w:t>
      </w:r>
      <w:r>
        <w:t xml:space="preserve">estimatoria es un error que la Administración detectará y que desacredita el escrito entero.</w:t>
      </w:r>
      <w:r>
        <w:t xml:space="preserve"> </w:t>
      </w:r>
      <w:r>
        <w:rPr>
          <w:b/>
        </w:rPr>
        <w:t xml:space="preserve">Fórmula correcta:</w:t>
      </w:r>
      <w:r>
        <w:t xml:space="preserve"> </w:t>
      </w:r>
      <w:r>
        <w:rPr>
          <w:i/>
        </w:rPr>
        <w:t xml:space="preserve">“</w:t>
      </w:r>
      <w:r>
        <w:rPr>
          <w:i/>
        </w:rPr>
        <w:t xml:space="preserve">El Tribunal Constitucional, incluso al denegar el amparo en la STC</w:t>
      </w:r>
      <w:r>
        <w:rPr>
          <w:i/>
        </w:rPr>
        <w:t xml:space="preserve"> </w:t>
      </w:r>
      <w:r>
        <w:rPr>
          <w:i/>
        </w:rPr>
        <w:t xml:space="preserve">10/2014, fijó como doctrina que la regla es la escolarización ordinaria con los apoyos</w:t>
      </w:r>
      <w:r>
        <w:rPr>
          <w:i/>
        </w:rPr>
        <w:t xml:space="preserve"> </w:t>
      </w:r>
      <w:r>
        <w:rPr>
          <w:i/>
        </w:rPr>
        <w:t xml:space="preserve">necesarios, que la excepción solo opera cuando los ajustes sean desproporcionados o no</w:t>
      </w:r>
      <w:r>
        <w:rPr>
          <w:i/>
        </w:rPr>
        <w:t xml:space="preserve"> </w:t>
      </w:r>
      <w:r>
        <w:rPr>
          <w:i/>
        </w:rPr>
        <w:t xml:space="preserve">razonables, y que la Administración deberá exteriorizar los motivos.</w:t>
      </w:r>
      <w:r>
        <w:rPr>
          <w:i/>
        </w:rPr>
        <w:t xml:space="preserve">”</w:t>
      </w:r>
    </w:p>
    <w:p>
      <w:pPr>
        <w:pStyle w:val="FirstParagraph"/>
      </w:pPr>
      <w:r>
        <w:rPr>
          <w:b/>
        </w:rPr>
        <w:t xml:space="preserve">STC 81/2021, de 19 de abril</w:t>
      </w:r>
      <w:r>
        <w:t xml:space="preserve"> </w:t>
      </w:r>
      <w:r>
        <w:t xml:space="preserve">(Sala Segunda, amparo 3826-2019, BOE-A-2021-8347). Igualmente</w:t>
      </w:r>
      <w:r>
        <w:t xml:space="preserve"> </w:t>
      </w:r>
      <w:r>
        <w:rPr>
          <w:b/>
        </w:rPr>
        <w:t xml:space="preserve">desestimatoria</w:t>
      </w:r>
      <w:r>
        <w:t xml:space="preserve">; útil solo por su doctrina sobre la</w:t>
      </w:r>
      <w:r>
        <w:t xml:space="preserve"> </w:t>
      </w:r>
      <w:r>
        <w:rPr>
          <w:b/>
        </w:rPr>
        <w:t xml:space="preserve">dimensión prestacional</w:t>
      </w:r>
      <w:r>
        <w:t xml:space="preserve"> </w:t>
      </w:r>
      <w:r>
        <w:t xml:space="preserve">del derecho a</w:t>
      </w:r>
      <w:r>
        <w:t xml:space="preserve"> </w:t>
      </w:r>
      <w:r>
        <w:t xml:space="preserve">la educación: no se agota en no impedir el acceso, obliga a dotar.</w:t>
      </w:r>
    </w:p>
    <w:p>
      <w:pPr>
        <w:pStyle w:val="Heading3"/>
      </w:pPr>
      <w:bookmarkStart w:id="29" w:name="c.2-tribunal-supremo"/>
      <w:r>
        <w:t xml:space="preserve">C.2 Tribunal Supremo</w:t>
      </w:r>
      <w:bookmarkEnd w:id="29"/>
    </w:p>
    <w:p>
      <w:pPr>
        <w:pStyle w:val="BlockText"/>
      </w:pPr>
      <w:r>
        <w:rPr>
          <w:b/>
        </w:rPr>
        <w:t xml:space="preserve">Las tres referencias se han contrastado. Hubo errores en el material de partida y están</w:t>
      </w:r>
      <w:r>
        <w:rPr>
          <w:b/>
        </w:rPr>
        <w:t xml:space="preserve"> </w:t>
      </w:r>
      <w:r>
        <w:rPr>
          <w:b/>
        </w:rPr>
        <w:t xml:space="preserve">corregidos aquí. Usar EXCLUSIVAMENTE esta versión.</w:t>
      </w:r>
    </w:p>
    <w:p>
      <w:pPr>
        <w:pStyle w:val="FirstParagraph"/>
      </w:pPr>
      <w:r>
        <w:rPr>
          <w:b/>
        </w:rPr>
        <w:t xml:space="preserve">STS 1976/2017, de 14 de diciembre de 2017.</w:t>
      </w:r>
      <w:r>
        <w:t xml:space="preserve"> </w:t>
      </w:r>
      <w:r>
        <w:t xml:space="preserve">Tribunal Supremo, Sala de lo</w:t>
      </w:r>
      <w:r>
        <w:t xml:space="preserve"> </w:t>
      </w:r>
      <w:r>
        <w:t xml:space="preserve">Contencioso-Administrativo, Sección 4.ª.</w:t>
      </w:r>
      <w:r>
        <w:t xml:space="preserve"> </w:t>
      </w:r>
      <w:r>
        <w:rPr>
          <w:b/>
        </w:rPr>
        <w:t xml:space="preserve">Recurso de casación 2965/2016.</w:t>
      </w:r>
      <w:r>
        <w:t xml:space="preserve"> </w:t>
      </w:r>
      <w:r>
        <w:t xml:space="preserve">ROJ STS 4521/2017 ·</w:t>
      </w:r>
      <w:r>
        <w:t xml:space="preserve"> </w:t>
      </w:r>
      <w:r>
        <w:rPr>
          <w:b/>
        </w:rPr>
        <w:t xml:space="preserve">ECLI:ES:TS:2017:4521</w:t>
      </w:r>
      <w:r>
        <w:t xml:space="preserve"> </w:t>
      </w:r>
      <w:r>
        <w:t xml:space="preserve">· Ponente: José Luis Requero Ibáñez.</w:t>
      </w:r>
    </w:p>
    <w:p>
      <w:pPr>
        <w:pStyle w:val="BlockText"/>
      </w:pPr>
      <w:r>
        <w:t xml:space="preserve">⚠</w:t>
      </w:r>
      <w:r>
        <w:t xml:space="preserve"> </w:t>
      </w:r>
      <w:r>
        <w:rPr>
          <w:b/>
        </w:rPr>
        <w:t xml:space="preserve">PRECISIÓN OBLIGATORIA SOBRE EL FALLO.</w:t>
      </w:r>
      <w:r>
        <w:t xml:space="preserve"> </w:t>
      </w:r>
      <w:r>
        <w:t xml:space="preserve">El Supremo</w:t>
      </w:r>
      <w:r>
        <w:t xml:space="preserve"> </w:t>
      </w:r>
      <w:r>
        <w:rPr>
          <w:b/>
        </w:rPr>
        <w:t xml:space="preserve">desestimó el recurso de casación</w:t>
      </w:r>
      <w:r>
        <w:rPr>
          <w:b/>
        </w:rPr>
        <w:t xml:space="preserve"> </w:t>
      </w:r>
      <w:r>
        <w:rPr>
          <w:b/>
        </w:rPr>
        <w:t xml:space="preserve">interpuesto por la Comunidad Autónoma de La Rioja</w:t>
      </w:r>
      <w:r>
        <w:t xml:space="preserve">. Es decir: la familia había ganado en el</w:t>
      </w:r>
      <w:r>
        <w:t xml:space="preserve"> </w:t>
      </w:r>
      <w:r>
        <w:t xml:space="preserve">TSJ y el Supremo</w:t>
      </w:r>
      <w:r>
        <w:t xml:space="preserve"> </w:t>
      </w:r>
      <w:r>
        <w:rPr>
          <w:b/>
        </w:rPr>
        <w:t xml:space="preserve">mantuvo</w:t>
      </w:r>
      <w:r>
        <w:t xml:space="preserve"> </w:t>
      </w:r>
      <w:r>
        <w:t xml:space="preserve">esa victoria.</w:t>
      </w:r>
      <w:r>
        <w:t xml:space="preserve"> </w:t>
      </w:r>
      <w:r>
        <w:rPr>
          <w:b/>
        </w:rPr>
        <w:t xml:space="preserve">No decir</w:t>
      </w:r>
      <w:r>
        <w:rPr>
          <w:b/>
        </w:rPr>
        <w:t xml:space="preserve"> </w:t>
      </w:r>
      <w:r>
        <w:rPr>
          <w:b/>
        </w:rPr>
        <w:t xml:space="preserve">“</w:t>
      </w:r>
      <w:r>
        <w:rPr>
          <w:b/>
        </w:rPr>
        <w:t xml:space="preserve">el Supremo estimó el recurso de la</w:t>
      </w:r>
      <w:r>
        <w:rPr>
          <w:b/>
        </w:rPr>
        <w:t xml:space="preserve"> </w:t>
      </w:r>
      <w:r>
        <w:rPr>
          <w:b/>
        </w:rPr>
        <w:t xml:space="preserve">familia</w:t>
      </w:r>
      <w:r>
        <w:rPr>
          <w:b/>
        </w:rPr>
        <w:t xml:space="preserve">”</w:t>
      </w:r>
      <w:r>
        <w:t xml:space="preserve">: es inexacto y detectable.</w:t>
      </w:r>
    </w:p>
    <w:p>
      <w:pPr>
        <w:pStyle w:val="FirstParagraph"/>
      </w:pPr>
      <w:r>
        <w:t xml:space="preserve">Doctrina utilizable (Fundamento Jurídico Sexto): la norma</w:t>
      </w:r>
      <w:r>
        <w:t xml:space="preserve"> </w:t>
      </w:r>
      <w:r>
        <w:rPr>
          <w:b/>
        </w:rPr>
        <w:t xml:space="preserve">exige de las administraciones una</w:t>
      </w:r>
      <w:r>
        <w:rPr>
          <w:b/>
        </w:rPr>
        <w:t xml:space="preserve"> </w:t>
      </w:r>
      <w:r>
        <w:rPr>
          <w:b/>
        </w:rPr>
        <w:t xml:space="preserve">concreta puesta de medios que procure la integración en el sistema educativo ordinario</w:t>
      </w:r>
      <w:r>
        <w:t xml:space="preserve">, y solo</w:t>
      </w:r>
      <w:r>
        <w:t xml:space="preserve"> </w:t>
      </w:r>
      <w:r>
        <w:t xml:space="preserve">cabe acudir al régimen de educación especial cuando se justifique que,</w:t>
      </w:r>
      <w:r>
        <w:t xml:space="preserve"> </w:t>
      </w:r>
      <w:r>
        <w:rPr>
          <w:b/>
        </w:rPr>
        <w:t xml:space="preserve">agotados los esfuerzos</w:t>
      </w:r>
      <w:r>
        <w:rPr>
          <w:b/>
        </w:rPr>
        <w:t xml:space="preserve"> </w:t>
      </w:r>
      <w:r>
        <w:rPr>
          <w:b/>
        </w:rPr>
        <w:t xml:space="preserve">de integración</w:t>
      </w:r>
      <w:r>
        <w:t xml:space="preserve">, procede esa opción.</w:t>
      </w:r>
    </w:p>
    <w:p>
      <w:pPr>
        <w:pStyle w:val="BlockText"/>
      </w:pPr>
      <w:r>
        <w:t xml:space="preserve">⚠</w:t>
      </w:r>
      <w:r>
        <w:t xml:space="preserve"> </w:t>
      </w:r>
      <w:r>
        <w:rPr>
          <w:b/>
        </w:rPr>
        <w:t xml:space="preserve">NO ENTRECOMILLAR</w:t>
      </w:r>
      <w:r>
        <w:t xml:space="preserve"> </w:t>
      </w:r>
      <w:r>
        <w:t xml:space="preserve">la frase</w:t>
      </w:r>
      <w:r>
        <w:t xml:space="preserve"> </w:t>
      </w:r>
      <w:r>
        <w:rPr>
          <w:i/>
        </w:rPr>
        <w:t xml:space="preserve">“</w:t>
      </w:r>
      <w:r>
        <w:rPr>
          <w:i/>
        </w:rPr>
        <w:t xml:space="preserve">justificar con todo rigor por qué los apoyos no pueden</w:t>
      </w:r>
      <w:r>
        <w:rPr>
          <w:i/>
        </w:rPr>
        <w:t xml:space="preserve"> </w:t>
      </w:r>
      <w:r>
        <w:rPr>
          <w:i/>
        </w:rPr>
        <w:t xml:space="preserve">prestarse en centros ordinarios</w:t>
      </w:r>
      <w:r>
        <w:rPr>
          <w:i/>
        </w:rPr>
        <w:t xml:space="preserve">”</w:t>
      </w:r>
      <w:r>
        <w:t xml:space="preserve">.</w:t>
      </w:r>
      <w:r>
        <w:t xml:space="preserve"> </w:t>
      </w:r>
      <w:r>
        <w:rPr>
          <w:b/>
        </w:rPr>
        <w:t xml:space="preserve">No figura con esa redacción en la sentencia</w:t>
      </w:r>
      <w:r>
        <w:t xml:space="preserve">: es una</w:t>
      </w:r>
      <w:r>
        <w:t xml:space="preserve"> </w:t>
      </w:r>
      <w:r>
        <w:t xml:space="preserve">paráfrasis doctrinal más fuerte que el original. Se puede sostener la idea; no se puede</w:t>
      </w:r>
      <w:r>
        <w:t xml:space="preserve"> </w:t>
      </w:r>
      <w:r>
        <w:t xml:space="preserve">atribuir como cita literal.</w:t>
      </w:r>
    </w:p>
    <w:p>
      <w:pPr>
        <w:pStyle w:val="FirstParagraph"/>
      </w:pPr>
      <w:r>
        <w:rPr>
          <w:b/>
        </w:rPr>
        <w:t xml:space="preserve">STS de 9 de mayo de 2011.</w:t>
      </w:r>
      <w:r>
        <w:t xml:space="preserve"> </w:t>
      </w:r>
      <w:r>
        <w:t xml:space="preserve">Sala de lo Contencioso-Administrativo.</w:t>
      </w:r>
      <w:r>
        <w:t xml:space="preserve"> </w:t>
      </w:r>
      <w:r>
        <w:rPr>
          <w:b/>
        </w:rPr>
        <w:t xml:space="preserve">Recurso 603/2010.</w:t>
      </w:r>
      <w:r>
        <w:t xml:space="preserve"> </w:t>
      </w:r>
      <w:r>
        <w:t xml:space="preserve">ROJ STS 3257/2011.</w:t>
      </w:r>
      <w:r>
        <w:t xml:space="preserve"> </w:t>
      </w:r>
      <w:r>
        <w:rPr>
          <w:b/>
        </w:rPr>
        <w:t xml:space="preserve">Es la FUENTE PRIMARIA</w:t>
      </w:r>
      <w:r>
        <w:t xml:space="preserve"> </w:t>
      </w:r>
      <w:r>
        <w:t xml:space="preserve">de la formulación que interesa (FJ 8.º):</w:t>
      </w:r>
    </w:p>
    <w:p>
      <w:pPr>
        <w:pStyle w:val="BlockText"/>
      </w:pPr>
      <w:r>
        <w:rPr>
          <w:i/>
        </w:rPr>
        <w:t xml:space="preserve">“</w:t>
      </w:r>
      <w:r>
        <w:rPr>
          <w:i/>
        </w:rPr>
        <w:t xml:space="preserve">se encuentran en una posición de desigualdad de partida que les hace acreedores de una</w:t>
      </w:r>
      <w:r>
        <w:rPr>
          <w:i/>
        </w:rPr>
        <w:t xml:space="preserve"> </w:t>
      </w:r>
      <w:r>
        <w:rPr>
          <w:i/>
        </w:rPr>
        <w:t xml:space="preserve">respuesta de las Administraciones educativas…</w:t>
      </w:r>
      <w:r>
        <w:rPr>
          <w:i/>
        </w:rPr>
        <w:t xml:space="preserve">”</w:t>
      </w:r>
    </w:p>
    <w:p>
      <w:pPr>
        <w:pStyle w:val="FirstParagraph"/>
      </w:pPr>
      <w:r>
        <w:t xml:space="preserve">Declara además que</w:t>
      </w:r>
      <w:r>
        <w:t xml:space="preserve"> </w:t>
      </w:r>
      <w:r>
        <w:rPr>
          <w:b/>
        </w:rPr>
        <w:t xml:space="preserve">la falta de medios constituye una exigencia cualificada desde el punto de</w:t>
      </w:r>
      <w:r>
        <w:rPr>
          <w:b/>
        </w:rPr>
        <w:t xml:space="preserve"> </w:t>
      </w:r>
      <w:r>
        <w:rPr>
          <w:b/>
        </w:rPr>
        <w:t xml:space="preserve">vista constitucional</w:t>
      </w:r>
      <w:r>
        <w:t xml:space="preserve"> </w:t>
      </w:r>
      <w:r>
        <w:t xml:space="preserve">y puede vulnerar el derecho fundamental a la educación.</w:t>
      </w:r>
    </w:p>
    <w:p>
      <w:pPr>
        <w:pStyle w:val="BodyText"/>
      </w:pPr>
      <w:r>
        <w:rPr>
          <w:b/>
        </w:rPr>
        <w:t xml:space="preserve">STS 861/2019, de 21 de junio de 2019.</w:t>
      </w:r>
      <w:r>
        <w:t xml:space="preserve"> </w:t>
      </w:r>
      <w:r>
        <w:t xml:space="preserve">Sala de lo Contencioso-Administrativo, Sección 4.ª.</w:t>
      </w:r>
      <w:r>
        <w:t xml:space="preserve"> </w:t>
      </w:r>
      <w:r>
        <w:rPr>
          <w:b/>
        </w:rPr>
        <w:t xml:space="preserve">Recurso de casación 4651/2018.</w:t>
      </w:r>
      <w:r>
        <w:t xml:space="preserve"> </w:t>
      </w:r>
      <w:r>
        <w:t xml:space="preserve">ROJ STS 2010/2019 · Ponente: Celsa Pico Lorenzo.</w:t>
      </w:r>
      <w:r>
        <w:t xml:space="preserve"> </w:t>
      </w:r>
      <w:r>
        <w:t xml:space="preserve">Refuerza la dimensión constitucional del derecho a la educación inclusiva y</w:t>
      </w:r>
      <w:r>
        <w:t xml:space="preserve"> </w:t>
      </w:r>
      <w:r>
        <w:rPr>
          <w:b/>
        </w:rPr>
        <w:t xml:space="preserve">reproduce</w:t>
      </w:r>
      <w:r>
        <w:t xml:space="preserve"> </w:t>
      </w:r>
      <w:r>
        <w:t xml:space="preserve">la</w:t>
      </w:r>
      <w:r>
        <w:t xml:space="preserve"> </w:t>
      </w:r>
      <w:r>
        <w:t xml:space="preserve">doctrina de la desigualdad de partida,</w:t>
      </w:r>
      <w:r>
        <w:t xml:space="preserve"> </w:t>
      </w:r>
      <w:r>
        <w:rPr>
          <w:b/>
        </w:rPr>
        <w:t xml:space="preserve">remitiendo expresamente al FJ 8.º de la STS de 9 de mayo</w:t>
      </w:r>
      <w:r>
        <w:rPr>
          <w:b/>
        </w:rPr>
        <w:t xml:space="preserve"> </w:t>
      </w:r>
      <w:r>
        <w:rPr>
          <w:b/>
        </w:rPr>
        <w:t xml:space="preserve">de 2011</w:t>
      </w:r>
      <w:r>
        <w:t xml:space="preserve">. Por eso, cuando se cite esa frase,</w:t>
      </w:r>
      <w:r>
        <w:t xml:space="preserve"> </w:t>
      </w:r>
      <w:r>
        <w:rPr>
          <w:b/>
        </w:rPr>
        <w:t xml:space="preserve">se cita la de 2011 como origen</w:t>
      </w:r>
      <w:r>
        <w:t xml:space="preserve"> </w:t>
      </w:r>
      <w:r>
        <w:t xml:space="preserve">y la de 2019 como</w:t>
      </w:r>
      <w:r>
        <w:t xml:space="preserve"> </w:t>
      </w:r>
      <w:r>
        <w:t xml:space="preserve">confirmación.</w:t>
      </w:r>
    </w:p>
    <w:p>
      <w:pPr>
        <w:pStyle w:val="Heading3"/>
      </w:pPr>
      <w:bookmarkStart w:id="30" w:name="X8c5baa6bf1c281e518d1eff0006764161a133c9"/>
      <w:r>
        <w:t xml:space="preserve">C.2 bis Tribunal Superior de Justicia de Andalucía</w:t>
      </w:r>
      <w:bookmarkEnd w:id="30"/>
    </w:p>
    <w:p>
      <w:pPr>
        <w:pStyle w:val="FirstParagraph"/>
      </w:pPr>
      <w:r>
        <w:rPr>
          <w:b/>
        </w:rPr>
        <w:t xml:space="preserve">STSJ de Andalucía, sede Granada, Sala de lo Contencioso-Administrativo, Sección 3.ª,</w:t>
      </w:r>
      <w:r>
        <w:rPr>
          <w:b/>
        </w:rPr>
        <w:t xml:space="preserve"> </w:t>
      </w:r>
      <w:r>
        <w:rPr>
          <w:b/>
        </w:rPr>
        <w:t xml:space="preserve">Sentencia 2997/2024, de 2 de octubre de 2024, recurso de apelación 1205/2024.</w:t>
      </w:r>
      <w:r>
        <w:rPr>
          <w:b/>
        </w:rPr>
        <w:t xml:space="preserve"> </w:t>
      </w:r>
      <w:r>
        <w:rPr>
          <w:b/>
        </w:rPr>
        <w:t xml:space="preserve">ECLI:ES:TSJAND:2024:14474.</w:t>
      </w:r>
    </w:p>
    <w:p>
      <w:pPr>
        <w:pStyle w:val="BlockText"/>
      </w:pPr>
      <w:r>
        <w:t xml:space="preserve">⚠ Los datos que circulaban asociados a</w:t>
      </w:r>
      <w:r>
        <w:t xml:space="preserve"> </w:t>
      </w:r>
      <w:r>
        <w:t xml:space="preserve">“</w:t>
      </w:r>
      <w:r>
        <w:t xml:space="preserve">2997/2024</w:t>
      </w:r>
      <w:r>
        <w:t xml:space="preserve">”</w:t>
      </w:r>
      <w:r>
        <w:t xml:space="preserve"> </w:t>
      </w:r>
      <w:r>
        <w:t xml:space="preserve">—16/09/2024, recurso 406/2022, Sección 4.ª—</w:t>
      </w:r>
      <w:r>
        <w:t xml:space="preserve"> </w:t>
      </w:r>
      <w:r>
        <w:rPr>
          <w:b/>
        </w:rPr>
        <w:t xml:space="preserve">corresponden a otra resolución</w:t>
      </w:r>
      <w:r>
        <w:t xml:space="preserve">. Usar únicamente la referencia de arriba.</w:t>
      </w:r>
    </w:p>
    <w:p>
      <w:pPr>
        <w:pStyle w:val="FirstParagraph"/>
      </w:pPr>
      <w:r>
        <w:t xml:space="preserve">Supuesto: unos padres solicitan</w:t>
      </w:r>
      <w:r>
        <w:t xml:space="preserve"> </w:t>
      </w:r>
      <w:r>
        <w:rPr>
          <w:b/>
        </w:rPr>
        <w:t xml:space="preserve">profesor de educación especial continuo e individualizado</w:t>
      </w:r>
      <w:r>
        <w:t xml:space="preserve"> </w:t>
      </w:r>
      <w:r>
        <w:t xml:space="preserve">para</w:t>
      </w:r>
      <w:r>
        <w:t xml:space="preserve"> </w:t>
      </w:r>
      <w:r>
        <w:t xml:space="preserve">un menor con necesidades educativas especiales, y la Administración deniega el apoyo. El Tribunal</w:t>
      </w:r>
      <w:r>
        <w:t xml:space="preserve"> </w:t>
      </w:r>
      <w:r>
        <w:t xml:space="preserve">declara que la Administración</w:t>
      </w:r>
      <w:r>
        <w:t xml:space="preserve"> </w:t>
      </w:r>
      <w:r>
        <w:rPr>
          <w:b/>
        </w:rPr>
        <w:t xml:space="preserve">no puede ampararse en su potestad de autoorganización</w:t>
      </w:r>
      <w:r>
        <w:t xml:space="preserve"> </w:t>
      </w:r>
      <w:r>
        <w:t xml:space="preserve">para</w:t>
      </w:r>
      <w:r>
        <w:t xml:space="preserve"> </w:t>
      </w:r>
      <w:r>
        <w:t xml:space="preserve">negar el apoyo, por existir obligación legal de realizar ajustes razonables.</w:t>
      </w:r>
    </w:p>
    <w:p>
      <w:pPr>
        <w:pStyle w:val="BodyText"/>
      </w:pPr>
      <w:r>
        <w:rPr>
          <w:b/>
        </w:rPr>
        <w:t xml:space="preserve">Es andaluza, es reciente, es de Granada y es exactamente este supuesto de hecho. Encabeza el</w:t>
      </w:r>
      <w:r>
        <w:rPr>
          <w:b/>
        </w:rPr>
        <w:t xml:space="preserve"> </w:t>
      </w:r>
      <w:r>
        <w:rPr>
          <w:b/>
        </w:rPr>
        <w:t xml:space="preserve">bloque jurisprudencial en cualquier escrito dirigido a la Administración educativa andaluza.</w:t>
      </w:r>
    </w:p>
    <w:p>
      <w:pPr>
        <w:pStyle w:val="Heading3"/>
      </w:pPr>
      <w:bookmarkStart w:id="31" w:name="c.3-tribunal-europeo-de-derechos-humanos"/>
      <w:r>
        <w:t xml:space="preserve">C.3 Tribunal Europeo de Derechos Humanos</w:t>
      </w:r>
      <w:bookmarkEnd w:id="31"/>
    </w:p>
    <w:p>
      <w:pPr>
        <w:pStyle w:val="FirstParagraph"/>
      </w:pPr>
      <w:r>
        <w:rPr>
          <w:b/>
        </w:rPr>
        <w:t xml:space="preserve">Çam c. Turquía</w:t>
      </w:r>
      <w:r>
        <w:t xml:space="preserve">, demanda</w:t>
      </w:r>
      <w:r>
        <w:t xml:space="preserve"> </w:t>
      </w:r>
      <w:r>
        <w:rPr>
          <w:b/>
        </w:rPr>
        <w:t xml:space="preserve">51500/08</w:t>
      </w:r>
      <w:r>
        <w:t xml:space="preserve">, sentencia de</w:t>
      </w:r>
      <w:r>
        <w:t xml:space="preserve"> </w:t>
      </w:r>
      <w:r>
        <w:rPr>
          <w:b/>
        </w:rPr>
        <w:t xml:space="preserve">23 de febrero de 2016</w:t>
      </w:r>
      <w:r>
        <w:t xml:space="preserve">. Violación del</w:t>
      </w:r>
      <w:r>
        <w:t xml:space="preserve"> </w:t>
      </w:r>
      <w:r>
        <w:t xml:space="preserve">art. 14 CEDH en relación con el art. 2 del Protocolo nº 1. Incorpora el concepto de</w:t>
      </w:r>
      <w:r>
        <w:t xml:space="preserve"> </w:t>
      </w:r>
      <w:r>
        <w:rPr>
          <w:b/>
        </w:rPr>
        <w:t xml:space="preserve">ajuste</w:t>
      </w:r>
      <w:r>
        <w:rPr>
          <w:b/>
        </w:rPr>
        <w:t xml:space="preserve"> </w:t>
      </w:r>
      <w:r>
        <w:rPr>
          <w:b/>
        </w:rPr>
        <w:t xml:space="preserve">razonable</w:t>
      </w:r>
      <w:r>
        <w:t xml:space="preserve"> </w:t>
      </w:r>
      <w:r>
        <w:t xml:space="preserve">al derecho a la instrucción del Convenio y exige que las autoridades sean</w:t>
      </w:r>
      <w:r>
        <w:t xml:space="preserve"> </w:t>
      </w:r>
      <w:r>
        <w:rPr>
          <w:i/>
        </w:rPr>
        <w:t xml:space="preserve">“</w:t>
      </w:r>
      <w:r>
        <w:rPr>
          <w:i/>
        </w:rPr>
        <w:t xml:space="preserve">particularmente atentas</w:t>
      </w:r>
      <w:r>
        <w:rPr>
          <w:i/>
        </w:rPr>
        <w:t xml:space="preserve">”</w:t>
      </w:r>
      <w:r>
        <w:t xml:space="preserve"> </w:t>
      </w:r>
      <w:r>
        <w:t xml:space="preserve">al impacto de sus decisiones sobre menores con discapacidad.</w:t>
      </w:r>
    </w:p>
    <w:p>
      <w:pPr>
        <w:pStyle w:val="BodyText"/>
      </w:pPr>
      <w:r>
        <w:rPr>
          <w:b/>
        </w:rPr>
        <w:t xml:space="preserve">G.L. c. Italia</w:t>
      </w:r>
      <w:r>
        <w:t xml:space="preserve">, demanda</w:t>
      </w:r>
      <w:r>
        <w:t xml:space="preserve"> </w:t>
      </w:r>
      <w:r>
        <w:rPr>
          <w:b/>
        </w:rPr>
        <w:t xml:space="preserve">59751/15</w:t>
      </w:r>
      <w:r>
        <w:t xml:space="preserve">, sentencia de</w:t>
      </w:r>
      <w:r>
        <w:t xml:space="preserve"> </w:t>
      </w:r>
      <w:r>
        <w:rPr>
          <w:b/>
        </w:rPr>
        <w:t xml:space="preserve">10 de septiembre de 2020</w:t>
      </w:r>
      <w:r>
        <w:t xml:space="preserve">. Una niña con</w:t>
      </w:r>
      <w:r>
        <w:t xml:space="preserve"> </w:t>
      </w:r>
      <w:r>
        <w:t xml:space="preserve">autismo se vio privada durante dos cursos del apoyo escolar especializado al que tenía derecho.</w:t>
      </w:r>
      <w:r>
        <w:t xml:space="preserve"> </w:t>
      </w:r>
      <w:r>
        <w:t xml:space="preserve">El Estado alegó falta de recursos.</w:t>
      </w:r>
      <w:r>
        <w:t xml:space="preserve"> </w:t>
      </w:r>
      <w:r>
        <w:rPr>
          <w:b/>
        </w:rPr>
        <w:t xml:space="preserve">El Tribunal rechazó la excusa presupuestaria</w:t>
      </w:r>
      <w:r>
        <w:t xml:space="preserve">, razonando</w:t>
      </w:r>
      <w:r>
        <w:t xml:space="preserve"> </w:t>
      </w:r>
      <w:r>
        <w:t xml:space="preserve">que las autoridades nunca consideraron que la falta de recursos pudiera compensarse</w:t>
      </w:r>
      <w:r>
        <w:t xml:space="preserve"> </w:t>
      </w:r>
      <w:r>
        <w:rPr>
          <w:i/>
        </w:rPr>
        <w:t xml:space="preserve">“</w:t>
      </w:r>
      <w:r>
        <w:rPr>
          <w:i/>
        </w:rPr>
        <w:t xml:space="preserve">no mediante</w:t>
      </w:r>
      <w:r>
        <w:rPr>
          <w:i/>
        </w:rPr>
        <w:t xml:space="preserve"> </w:t>
      </w:r>
      <w:r>
        <w:rPr>
          <w:i/>
        </w:rPr>
        <w:t xml:space="preserve">adaptaciones razonables que garantizaran la igualdad de oportunidades de los niños con</w:t>
      </w:r>
      <w:r>
        <w:rPr>
          <w:i/>
        </w:rPr>
        <w:t xml:space="preserve"> </w:t>
      </w:r>
      <w:r>
        <w:rPr>
          <w:i/>
        </w:rPr>
        <w:t xml:space="preserve">discapacidad, sino mediante una reducción de la oferta educativa global, de modo que se</w:t>
      </w:r>
      <w:r>
        <w:rPr>
          <w:i/>
        </w:rPr>
        <w:t xml:space="preserve"> </w:t>
      </w:r>
      <w:r>
        <w:rPr>
          <w:i/>
        </w:rPr>
        <w:t xml:space="preserve">distribuyera por igual entre el alumnado con y sin discapacidad</w:t>
      </w:r>
      <w:r>
        <w:rPr>
          <w:i/>
        </w:rPr>
        <w:t xml:space="preserve">”</w:t>
      </w:r>
      <w:r>
        <w:t xml:space="preserve">, y exigiendo examinar</w:t>
      </w:r>
      <w:r>
        <w:t xml:space="preserve"> </w:t>
      </w:r>
      <w:r>
        <w:rPr>
          <w:b/>
        </w:rPr>
        <w:t xml:space="preserve">la</w:t>
      </w:r>
      <w:r>
        <w:rPr>
          <w:b/>
        </w:rPr>
        <w:t xml:space="preserve"> </w:t>
      </w:r>
      <w:r>
        <w:rPr>
          <w:b/>
        </w:rPr>
        <w:t xml:space="preserve">totalidad de los recursos destinados a educación</w:t>
      </w:r>
      <w:r>
        <w:t xml:space="preserve">, no solo la partida etiquetada.</w:t>
      </w:r>
    </w:p>
    <w:p>
      <w:pPr>
        <w:pStyle w:val="BlockText"/>
      </w:pPr>
      <w:r>
        <w:rPr>
          <w:b/>
        </w:rPr>
        <w:t xml:space="preserve">Uso operativo.</w:t>
      </w:r>
      <w:r>
        <w:t xml:space="preserve"> </w:t>
      </w:r>
      <w:r>
        <w:t xml:space="preserve">Frente a la alegación de cupo agotado, la pregunta que hay que formular por</w:t>
      </w:r>
      <w:r>
        <w:t xml:space="preserve"> </w:t>
      </w:r>
      <w:r>
        <w:t xml:space="preserve">escrito es:</w:t>
      </w:r>
      <w:r>
        <w:t xml:space="preserve"> </w:t>
      </w:r>
      <w:r>
        <w:rPr>
          <w:i/>
        </w:rPr>
        <w:t xml:space="preserve">¿ha examinado esa Administración la totalidad de sus recursos educativos en el</w:t>
      </w:r>
      <w:r>
        <w:rPr>
          <w:i/>
        </w:rPr>
        <w:t xml:space="preserve"> </w:t>
      </w:r>
      <w:r>
        <w:rPr>
          <w:i/>
        </w:rPr>
        <w:t xml:space="preserve">ámbito territorial, o únicamente la partida específica de atención a la diversidad? ¿Ha</w:t>
      </w:r>
      <w:r>
        <w:rPr>
          <w:i/>
        </w:rPr>
        <w:t xml:space="preserve"> </w:t>
      </w:r>
      <w:r>
        <w:rPr>
          <w:i/>
        </w:rPr>
        <w:t xml:space="preserve">soportado el resto del alumnado una reducción equivalente?</w:t>
      </w:r>
      <w:r>
        <w:t xml:space="preserve"> </w:t>
      </w:r>
      <w:r>
        <w:t xml:space="preserve">Si la respuesta es negativa, la</w:t>
      </w:r>
      <w:r>
        <w:t xml:space="preserve"> </w:t>
      </w:r>
      <w:r>
        <w:t xml:space="preserve">restricción es discriminatoria conforme a G.L. c. Italia.</w:t>
      </w:r>
    </w:p>
    <w:p>
      <w:pPr>
        <w:pStyle w:val="Heading3"/>
      </w:pPr>
      <w:bookmarkStart w:id="32" w:name="c.4-defensorías"/>
      <w:r>
        <w:t xml:space="preserve">C.4 Defensorías</w:t>
      </w:r>
      <w:bookmarkEnd w:id="32"/>
    </w:p>
    <w:p>
      <w:pPr>
        <w:pStyle w:val="FirstParagraph"/>
      </w:pPr>
      <w:r>
        <w:rPr>
          <w:b/>
        </w:rPr>
        <w:t xml:space="preserve">Defensor del Pueblo</w:t>
      </w:r>
      <w:r>
        <w:t xml:space="preserve">: Recomendación 130965/2019 (dotación de recursos y medios) y Sugerencia</w:t>
      </w:r>
      <w:r>
        <w:t xml:space="preserve"> </w:t>
      </w:r>
      <w:r>
        <w:t xml:space="preserve">en queja 18012121 (apoyos personalizados y ajustes razonables).</w:t>
      </w:r>
    </w:p>
    <w:p>
      <w:pPr>
        <w:pStyle w:val="BodyText"/>
      </w:pPr>
      <w:r>
        <w:rPr>
          <w:b/>
        </w:rPr>
        <w:t xml:space="preserve">Defensoría de la Infancia y Adolescencia de Andalucía</w:t>
      </w:r>
      <w:r>
        <w:t xml:space="preserve">: quejas</w:t>
      </w:r>
      <w:r>
        <w:t xml:space="preserve"> </w:t>
      </w:r>
      <w:r>
        <w:rPr>
          <w:b/>
        </w:rPr>
        <w:t xml:space="preserve">20/6809</w:t>
      </w:r>
      <w:r>
        <w:t xml:space="preserve"> </w:t>
      </w:r>
      <w:r>
        <w:t xml:space="preserve">(los estándares</w:t>
      </w:r>
      <w:r>
        <w:t xml:space="preserve"> </w:t>
      </w:r>
      <w:r>
        <w:t xml:space="preserve">provinciales no reflejan las necesidades reales del centro),</w:t>
      </w:r>
      <w:r>
        <w:t xml:space="preserve"> </w:t>
      </w:r>
      <w:r>
        <w:rPr>
          <w:b/>
        </w:rPr>
        <w:t xml:space="preserve">23/7185</w:t>
      </w:r>
      <w:r>
        <w:t xml:space="preserve"> </w:t>
      </w:r>
      <w:r>
        <w:t xml:space="preserve">(reproducir la relación</w:t>
      </w:r>
      <w:r>
        <w:t xml:space="preserve"> </w:t>
      </w:r>
      <w:r>
        <w:t xml:space="preserve">de puestos no es responder),</w:t>
      </w:r>
      <w:r>
        <w:t xml:space="preserve"> </w:t>
      </w:r>
      <w:r>
        <w:rPr>
          <w:b/>
        </w:rPr>
        <w:t xml:space="preserve">23/3037</w:t>
      </w:r>
      <w:r>
        <w:t xml:space="preserve"> </w:t>
      </w:r>
      <w:r>
        <w:t xml:space="preserve">(evaluación de recursos de PT y AL en un centro) y</w:t>
      </w:r>
      <w:r>
        <w:t xml:space="preserve"> </w:t>
      </w:r>
      <w:r>
        <w:rPr>
          <w:b/>
        </w:rPr>
        <w:t xml:space="preserve">21/8805</w:t>
      </w:r>
      <w:r>
        <w:t xml:space="preserve"> </w:t>
      </w:r>
      <w:r>
        <w:t xml:space="preserve">(concreción de los dictámenes de escolarización).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3" w:name="X9d9d6bb086d2769b23c4596ab7b80b7ac863fb1"/>
      <w:r>
        <w:t xml:space="preserve">D. LOS CUATRO ARGUMENTOS PROPIOS DE ESTE CASO</w:t>
      </w:r>
      <w:bookmarkEnd w:id="33"/>
    </w:p>
    <w:p>
      <w:pPr>
        <w:pStyle w:val="FirstParagraph"/>
      </w:pPr>
      <w:r>
        <w:rPr>
          <w:b/>
        </w:rPr>
        <w:t xml:space="preserve">D.1 · El diagnóstico no manda; manda el dictamen.</w:t>
      </w:r>
      <w:r>
        <w:t xml:space="preserve"> </w:t>
      </w:r>
      <w:r>
        <w:t xml:space="preserve">La respuesta educativa en Andalucía se organiza a partir de la</w:t>
      </w:r>
      <w:r>
        <w:t xml:space="preserve"> </w:t>
      </w:r>
      <w:r>
        <w:rPr>
          <w:b/>
        </w:rPr>
        <w:t xml:space="preserve">evaluación psicopedagógica y el</w:t>
      </w:r>
      <w:r>
        <w:rPr>
          <w:b/>
        </w:rPr>
        <w:t xml:space="preserve"> </w:t>
      </w:r>
      <w:r>
        <w:rPr>
          <w:b/>
        </w:rPr>
        <w:t xml:space="preserve">dictamen</w:t>
      </w:r>
      <w:r>
        <w:t xml:space="preserve"> </w:t>
      </w:r>
      <w:r>
        <w:t xml:space="preserve">(Decreto 147/2002, art. 7.2; Orden de 19-09-2002; Instrucciones de 8-03-2017), no a</w:t>
      </w:r>
      <w:r>
        <w:t xml:space="preserve"> </w:t>
      </w:r>
      <w:r>
        <w:t xml:space="preserve">partir de la etiqueta clínica. El art. 73 LOE define el alumnado con NEE por las</w:t>
      </w:r>
      <w:r>
        <w:t xml:space="preserve"> </w:t>
      </w:r>
      <w:r>
        <w:rPr>
          <w:b/>
        </w:rPr>
        <w:t xml:space="preserve">barreras</w:t>
      </w:r>
      <w:r>
        <w:t xml:space="preserve"> </w:t>
      </w:r>
      <w:r>
        <w:t xml:space="preserve">que</w:t>
      </w:r>
      <w:r>
        <w:t xml:space="preserve"> </w:t>
      </w:r>
      <w:r>
        <w:t xml:space="preserve">afronta. Un alumno con dictamen, adaptación curricular y necesidad acreditada de apoyo en aula</w:t>
      </w:r>
      <w:r>
        <w:t xml:space="preserve"> </w:t>
      </w:r>
      <w:r>
        <w:t xml:space="preserve">tiene derecho al recurso</w:t>
      </w:r>
      <w:r>
        <w:t xml:space="preserve"> </w:t>
      </w:r>
      <w:r>
        <w:rPr>
          <w:b/>
        </w:rPr>
        <w:t xml:space="preserve">con independencia de que su diagnóstico esté o no cubierto por un</w:t>
      </w:r>
      <w:r>
        <w:rPr>
          <w:b/>
        </w:rPr>
        <w:t xml:space="preserve"> </w:t>
      </w:r>
      <w:r>
        <w:rPr>
          <w:b/>
        </w:rPr>
        <w:t xml:space="preserve">convenio de colaboración con una entidad privada</w:t>
      </w:r>
      <w:r>
        <w:t xml:space="preserve">.</w:t>
      </w:r>
    </w:p>
    <w:p>
      <w:pPr>
        <w:pStyle w:val="BodyText"/>
      </w:pPr>
      <w:r>
        <w:rPr>
          <w:b/>
        </w:rPr>
        <w:t xml:space="preserve">D.2 · La asimetría entre diagnósticos es discriminación dentro del propio colectivo NEAE.</w:t>
      </w:r>
      <w:r>
        <w:t xml:space="preserve"> </w:t>
      </w:r>
      <w:r>
        <w:t xml:space="preserve">La Consejería mantiene convenios de colaboración con la Federación Autismo Andalucía, con FAHYDA</w:t>
      </w:r>
      <w:r>
        <w:t xml:space="preserve"> </w:t>
      </w:r>
      <w:r>
        <w:t xml:space="preserve">(TDAH), con Down Andalucía y con Asperger Andalucía.</w:t>
      </w:r>
      <w:r>
        <w:t xml:space="preserve"> </w:t>
      </w:r>
      <w:r>
        <w:rPr>
          <w:b/>
        </w:rPr>
        <w:t xml:space="preserve">Solo el de autismo ha venido amparando una</w:t>
      </w:r>
      <w:r>
        <w:rPr>
          <w:b/>
        </w:rPr>
        <w:t xml:space="preserve"> </w:t>
      </w:r>
      <w:r>
        <w:rPr>
          <w:b/>
        </w:rPr>
        <w:t xml:space="preserve">figura de apoyo individual en el aula.</w:t>
      </w:r>
      <w:r>
        <w:t xml:space="preserve"> </w:t>
      </w:r>
      <w:r>
        <w:t xml:space="preserve">El alumnado con inteligencia límite, dislexia, trastornos</w:t>
      </w:r>
      <w:r>
        <w:t xml:space="preserve"> </w:t>
      </w:r>
      <w:r>
        <w:t xml:space="preserve">del lenguaje o déficit de atención queda, por esa vía, sin cobertura equivalente. Una respuesta</w:t>
      </w:r>
      <w:r>
        <w:t xml:space="preserve"> </w:t>
      </w:r>
      <w:r>
        <w:t xml:space="preserve">administrativa que dependa del diagnóstico y no de la necesidad acreditada</w:t>
      </w:r>
      <w:r>
        <w:t xml:space="preserve"> </w:t>
      </w:r>
      <w:r>
        <w:rPr>
          <w:b/>
        </w:rPr>
        <w:t xml:space="preserve">introduce una</w:t>
      </w:r>
      <w:r>
        <w:rPr>
          <w:b/>
        </w:rPr>
        <w:t xml:space="preserve"> </w:t>
      </w:r>
      <w:r>
        <w:rPr>
          <w:b/>
        </w:rPr>
        <w:t xml:space="preserve">diferencia de trato entre alumnado igualmente titular del derecho</w:t>
      </w:r>
      <w:r>
        <w:t xml:space="preserve">, contraria al art. 14 CE, al</w:t>
      </w:r>
      <w:r>
        <w:t xml:space="preserve"> </w:t>
      </w:r>
      <w:r>
        <w:t xml:space="preserve">art. 5 de la Convención y al art. 71.2 LOE.</w:t>
      </w:r>
    </w:p>
    <w:p>
      <w:pPr>
        <w:pStyle w:val="BodyText"/>
      </w:pPr>
      <w:r>
        <w:rPr>
          <w:b/>
        </w:rPr>
        <w:t xml:space="preserve">D.3 · El convenio privado no puede ser la condición del derecho público.</w:t>
      </w:r>
      <w:r>
        <w:t xml:space="preserve"> </w:t>
      </w:r>
      <w:r>
        <w:t xml:space="preserve">Si el acceso efectivo al apoyo depende de que la familia contrate o financie a una entidad</w:t>
      </w:r>
      <w:r>
        <w:t xml:space="preserve"> </w:t>
      </w:r>
      <w:r>
        <w:t xml:space="preserve">privada, y de que esa entidad esté o no federada en una determinada federación,</w:t>
      </w:r>
      <w:r>
        <w:t xml:space="preserve"> </w:t>
      </w:r>
      <w:r>
        <w:rPr>
          <w:b/>
        </w:rPr>
        <w:t xml:space="preserve">el derecho del</w:t>
      </w:r>
      <w:r>
        <w:rPr>
          <w:b/>
        </w:rPr>
        <w:t xml:space="preserve"> </w:t>
      </w:r>
      <w:r>
        <w:rPr>
          <w:b/>
        </w:rPr>
        <w:t xml:space="preserve">menor queda condicionado a una circunstancia ajena a él y ajena a la Administración</w:t>
      </w:r>
      <w:r>
        <w:t xml:space="preserve">. Ni la LOE,</w:t>
      </w:r>
      <w:r>
        <w:t xml:space="preserve"> </w:t>
      </w:r>
      <w:r>
        <w:t xml:space="preserve">ni la LEA, ni el Decreto 147/2002 condicionan la dotación de recursos a la pertenencia de una</w:t>
      </w:r>
      <w:r>
        <w:t xml:space="preserve"> </w:t>
      </w:r>
      <w:r>
        <w:t xml:space="preserve">entidad a federación alguna.</w:t>
      </w:r>
      <w:r>
        <w:t xml:space="preserve"> </w:t>
      </w:r>
      <w:r>
        <w:rPr>
          <w:b/>
        </w:rPr>
        <w:t xml:space="preserve">No consta norma publicada que establezca tal requisito.</w:t>
      </w:r>
      <w:r>
        <w:t xml:space="preserve"> </w:t>
      </w:r>
      <w:r>
        <w:t xml:space="preserve">Y si el</w:t>
      </w:r>
      <w:r>
        <w:t xml:space="preserve"> </w:t>
      </w:r>
      <w:r>
        <w:t xml:space="preserve">requisito no está en ninguna norma, no puede oponerse a un administrado.</w:t>
      </w:r>
    </w:p>
    <w:p>
      <w:pPr>
        <w:pStyle w:val="BodyText"/>
      </w:pPr>
      <w:r>
        <w:rPr>
          <w:b/>
        </w:rPr>
        <w:t xml:space="preserve">D.4 · Continuidad y confianza legítima.</w:t>
      </w:r>
      <w:r>
        <w:t xml:space="preserve"> </w:t>
      </w:r>
      <w:r>
        <w:t xml:space="preserve">El alumnado que</w:t>
      </w:r>
      <w:r>
        <w:t xml:space="preserve"> </w:t>
      </w:r>
      <w:r>
        <w:rPr>
          <w:b/>
        </w:rPr>
        <w:t xml:space="preserve">ya venía recibiendo</w:t>
      </w:r>
      <w:r>
        <w:t xml:space="preserve"> </w:t>
      </w:r>
      <w:r>
        <w:t xml:space="preserve">apoyo en aula en cursos anteriores, y cuya continuidad</w:t>
      </w:r>
      <w:r>
        <w:t xml:space="preserve"> </w:t>
      </w:r>
      <w:r>
        <w:t xml:space="preserve">había sido comunicada por escrito para el curso siguiente, tiene una</w:t>
      </w:r>
      <w:r>
        <w:t xml:space="preserve"> </w:t>
      </w:r>
      <w:r>
        <w:rPr>
          <w:b/>
        </w:rPr>
        <w:t xml:space="preserve">expectativa legítima</w:t>
      </w:r>
      <w:r>
        <w:t xml:space="preserve"> </w:t>
      </w:r>
      <w:r>
        <w:t xml:space="preserve">de</w:t>
      </w:r>
      <w:r>
        <w:t xml:space="preserve"> </w:t>
      </w:r>
      <w:r>
        <w:t xml:space="preserve">continuidad. La interrupción sobrevenida de un apoyo que el propio centro venía aceptando y que</w:t>
      </w:r>
      <w:r>
        <w:t xml:space="preserve"> </w:t>
      </w:r>
      <w:r>
        <w:t xml:space="preserve">consta documentalmente asignado constituye una</w:t>
      </w:r>
      <w:r>
        <w:t xml:space="preserve"> </w:t>
      </w:r>
      <w:r>
        <w:rPr>
          <w:b/>
        </w:rPr>
        <w:t xml:space="preserve">variación significativa de las circunstancias</w:t>
      </w:r>
      <w:r>
        <w:t xml:space="preserve"> </w:t>
      </w:r>
      <w:r>
        <w:t xml:space="preserve">a los efectos del</w:t>
      </w:r>
      <w:r>
        <w:t xml:space="preserve"> </w:t>
      </w:r>
      <w:r>
        <w:rPr>
          <w:b/>
        </w:rPr>
        <w:t xml:space="preserve">art. 8 de la Orden de 19 de septiembre de 2002</w:t>
      </w:r>
      <w:r>
        <w:t xml:space="preserve">, y obliga a revisar el</w:t>
      </w:r>
      <w:r>
        <w:t xml:space="preserve"> </w:t>
      </w:r>
      <w:r>
        <w:t xml:space="preserve">dictamen y a determinar el recurso sustitutivo.</w:t>
      </w:r>
      <w:r>
        <w:t xml:space="preserve"> </w:t>
      </w:r>
      <w:r>
        <w:rPr>
          <w:b/>
        </w:rPr>
        <w:t xml:space="preserve">Lo anterior es predicable de todo el alumnado</w:t>
      </w:r>
      <w:r>
        <w:rPr>
          <w:b/>
        </w:rPr>
        <w:t xml:space="preserve"> </w:t>
      </w:r>
      <w:r>
        <w:rPr>
          <w:b/>
        </w:rPr>
        <w:t xml:space="preserve">que ya venía recibiendo el apoyo, con independencia de que la entidad a través de la cual se</w:t>
      </w:r>
      <w:r>
        <w:rPr>
          <w:b/>
        </w:rPr>
        <w:t xml:space="preserve"> </w:t>
      </w:r>
      <w:r>
        <w:rPr>
          <w:b/>
        </w:rPr>
        <w:t xml:space="preserve">canalizaba estuviera o no federada</w:t>
      </w:r>
      <w:r>
        <w:t xml:space="preserve">, pues la condición de federada es ajena al menor y no</w:t>
      </w:r>
      <w:r>
        <w:t xml:space="preserve"> </w:t>
      </w:r>
      <w:r>
        <w:t xml:space="preserve">consta exigida por norma alguna.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4" w:name="Xe82de46e46d086f19e4adec10c1d37574a2314e"/>
      <w:r>
        <w:t xml:space="preserve">D bis. ARGUMENTOS ADICIONALES CUANDO EXISTE DICTAMEN DE ESCOLARIZACIÓN</w:t>
      </w:r>
      <w:bookmarkEnd w:id="34"/>
    </w:p>
    <w:p>
      <w:pPr>
        <w:pStyle w:val="FirstParagraph"/>
      </w:pPr>
      <w:r>
        <w:rPr>
          <w:b/>
        </w:rPr>
        <w:t xml:space="preserve">D.5 · No se pide que se determine la necesidad: se pide que se ejecute lo ya dictaminado.</w:t>
      </w:r>
      <w:r>
        <w:t xml:space="preserve"> </w:t>
      </w:r>
      <w:r>
        <w:t xml:space="preserve">Cuando existe dictamen de escolarización en vigor que</w:t>
      </w:r>
      <w:r>
        <w:t xml:space="preserve"> </w:t>
      </w:r>
      <w:r>
        <w:rPr>
          <w:b/>
        </w:rPr>
        <w:t xml:space="preserve">determina las necesidades educativas</w:t>
      </w:r>
      <w:r>
        <w:rPr>
          <w:b/>
        </w:rPr>
        <w:t xml:space="preserve"> </w:t>
      </w:r>
      <w:r>
        <w:rPr>
          <w:b/>
        </w:rPr>
        <w:t xml:space="preserve">especiales</w:t>
      </w:r>
      <w:r>
        <w:t xml:space="preserve"> </w:t>
      </w:r>
      <w:r>
        <w:t xml:space="preserve">del alumno y</w:t>
      </w:r>
      <w:r>
        <w:t xml:space="preserve"> </w:t>
      </w:r>
      <w:r>
        <w:rPr>
          <w:b/>
        </w:rPr>
        <w:t xml:space="preserve">propone expresamente un recurso personal</w:t>
      </w:r>
      <w:r>
        <w:t xml:space="preserve">, la controversia deja de</w:t>
      </w:r>
      <w:r>
        <w:t xml:space="preserve"> </w:t>
      </w:r>
      <w:r>
        <w:t xml:space="preserve">versar sobre la existencia de la necesidad —que la propia Administración ha declarado mediante</w:t>
      </w:r>
      <w:r>
        <w:t xml:space="preserve"> </w:t>
      </w:r>
      <w:r>
        <w:t xml:space="preserve">acto administrativo de su Equipo de Orientación Educativa— y pasa a versar sobre</w:t>
      </w:r>
      <w:r>
        <w:t xml:space="preserve"> </w:t>
      </w:r>
      <w:r>
        <w:rPr>
          <w:b/>
        </w:rPr>
        <w:t xml:space="preserve">la ejecución</w:t>
      </w:r>
      <w:r>
        <w:rPr>
          <w:b/>
        </w:rPr>
        <w:t xml:space="preserve"> </w:t>
      </w:r>
      <w:r>
        <w:rPr>
          <w:b/>
        </w:rPr>
        <w:t xml:space="preserve">efectiva de lo dictaminado</w:t>
      </w:r>
      <w:r>
        <w:t xml:space="preserve">. La Administración queda vinculada por sus propios actos. Una</w:t>
      </w:r>
      <w:r>
        <w:t xml:space="preserve"> </w:t>
      </w:r>
      <w:r>
        <w:t xml:space="preserve">denegación exigiría, cuando menos,</w:t>
      </w:r>
      <w:r>
        <w:t xml:space="preserve"> </w:t>
      </w:r>
      <w:r>
        <w:rPr>
          <w:b/>
        </w:rPr>
        <w:t xml:space="preserve">revisar o revocar previamente el dictamen</w:t>
      </w:r>
      <w:r>
        <w:t xml:space="preserve">, lo que no puede</w:t>
      </w:r>
      <w:r>
        <w:t xml:space="preserve"> </w:t>
      </w:r>
      <w:r>
        <w:t xml:space="preserve">hacerse por vía de hecho ni por simple inactividad.</w:t>
      </w:r>
    </w:p>
    <w:p>
      <w:pPr>
        <w:pStyle w:val="BodyText"/>
      </w:pPr>
      <w:r>
        <w:rPr>
          <w:b/>
        </w:rPr>
        <w:t xml:space="preserve">D.6 · La modalidad de escolarización dictaminada impone sus propios medios.</w:t>
      </w:r>
      <w:r>
        <w:t xml:space="preserve"> </w:t>
      </w:r>
      <w:r>
        <w:t xml:space="preserve">La propuesta de escolarización en la modalidad</w:t>
      </w:r>
      <w:r>
        <w:t xml:space="preserve"> </w:t>
      </w:r>
      <w:r>
        <w:rPr>
          <w:b/>
        </w:rPr>
        <w:t xml:space="preserve">“</w:t>
      </w:r>
      <w:r>
        <w:rPr>
          <w:b/>
        </w:rPr>
        <w:t xml:space="preserve">grupo ordinario con apoyos en periodos</w:t>
      </w:r>
      <w:r>
        <w:rPr>
          <w:b/>
        </w:rPr>
        <w:t xml:space="preserve"> </w:t>
      </w:r>
      <w:r>
        <w:rPr>
          <w:b/>
        </w:rPr>
        <w:t xml:space="preserve">variables</w:t>
      </w:r>
      <w:r>
        <w:rPr>
          <w:b/>
        </w:rPr>
        <w:t xml:space="preserve">”</w:t>
      </w:r>
      <w:r>
        <w:t xml:space="preserve"> </w:t>
      </w:r>
      <w:r>
        <w:t xml:space="preserve">—prevista en el artículo 15.3 del Decreto 147/2002—</w:t>
      </w:r>
      <w:r>
        <w:t xml:space="preserve"> </w:t>
      </w:r>
      <w:r>
        <w:rPr>
          <w:b/>
        </w:rPr>
        <w:t xml:space="preserve">no es una etiqueta: es un</w:t>
      </w:r>
      <w:r>
        <w:rPr>
          <w:b/>
        </w:rPr>
        <w:t xml:space="preserve"> </w:t>
      </w:r>
      <w:r>
        <w:rPr>
          <w:b/>
        </w:rPr>
        <w:t xml:space="preserve">régimen</w:t>
      </w:r>
      <w:r>
        <w:t xml:space="preserve">. Presupone la existencia de apoyos efectivamente prestados en periodos variables. Un</w:t>
      </w:r>
      <w:r>
        <w:t xml:space="preserve"> </w:t>
      </w:r>
      <w:r>
        <w:t xml:space="preserve">alumno escolarizado formalmente en esa modalidad que</w:t>
      </w:r>
      <w:r>
        <w:t xml:space="preserve"> </w:t>
      </w:r>
      <w:r>
        <w:rPr>
          <w:b/>
        </w:rPr>
        <w:t xml:space="preserve">no recibe apoyo alguno</w:t>
      </w:r>
      <w:r>
        <w:t xml:space="preserve"> </w:t>
      </w:r>
      <w:r>
        <w:t xml:space="preserve">no está</w:t>
      </w:r>
      <w:r>
        <w:t xml:space="preserve"> </w:t>
      </w:r>
      <w:r>
        <w:t xml:space="preserve">escolarizado en la modalidad dictaminada: está en grupo ordinario a tiempo completo sin apoyos,</w:t>
      </w:r>
      <w:r>
        <w:t xml:space="preserve"> </w:t>
      </w:r>
      <w:r>
        <w:t xml:space="preserve">que es una modalidad distinta y que nadie ha dictaminado.</w:t>
      </w:r>
    </w:p>
    <w:p>
      <w:pPr>
        <w:pStyle w:val="BodyText"/>
      </w:pPr>
      <w:r>
        <w:rPr>
          <w:b/>
        </w:rPr>
        <w:t xml:space="preserve">D.7 · La ausencia de ratio publicada no beneficia a la Administración: la obliga a motivar.</w:t>
      </w:r>
      <w:r>
        <w:t xml:space="preserve"> </w:t>
      </w:r>
      <w:r>
        <w:t xml:space="preserve">El</w:t>
      </w:r>
      <w:r>
        <w:t xml:space="preserve"> </w:t>
      </w:r>
      <w:r>
        <w:rPr>
          <w:b/>
        </w:rPr>
        <w:t xml:space="preserve">artículo 9.4 del Decreto 147/2002</w:t>
      </w:r>
      <w:r>
        <w:t xml:space="preserve"> </w:t>
      </w:r>
      <w:r>
        <w:t xml:space="preserve">habilita a la Consejería para establecer</w:t>
      </w:r>
      <w:r>
        <w:t xml:space="preserve"> </w:t>
      </w:r>
      <w:r>
        <w:rPr>
          <w:i/>
        </w:rPr>
        <w:t xml:space="preserve">“</w:t>
      </w:r>
      <w:r>
        <w:rPr>
          <w:i/>
        </w:rPr>
        <w:t xml:space="preserve">la</w:t>
      </w:r>
      <w:r>
        <w:rPr>
          <w:i/>
        </w:rPr>
        <w:t xml:space="preserve"> </w:t>
      </w:r>
      <w:r>
        <w:rPr>
          <w:i/>
        </w:rPr>
        <w:t xml:space="preserve">cualificación y la proporción de los profesionales por alumnos y alumnas</w:t>
      </w:r>
      <w:r>
        <w:rPr>
          <w:i/>
        </w:rPr>
        <w:t xml:space="preserve">”</w:t>
      </w:r>
      <w:r>
        <w:t xml:space="preserve">.</w:t>
      </w:r>
      <w:r>
        <w:t xml:space="preserve"> </w:t>
      </w:r>
      <w:r>
        <w:rPr>
          <w:b/>
        </w:rPr>
        <w:t xml:space="preserve">Esa habilitación</w:t>
      </w:r>
      <w:r>
        <w:rPr>
          <w:b/>
        </w:rPr>
        <w:t xml:space="preserve"> </w:t>
      </w:r>
      <w:r>
        <w:rPr>
          <w:b/>
        </w:rPr>
        <w:t xml:space="preserve">lleva más de veinte años sin desarrollarse</w:t>
      </w:r>
      <w:r>
        <w:t xml:space="preserve">: no existe ratio publicada de alumnado por</w:t>
      </w:r>
      <w:r>
        <w:t xml:space="preserve"> </w:t>
      </w:r>
      <w:r>
        <w:t xml:space="preserve">profesional de Pedagogía Terapéutica, Audición y Lenguaje o Personal Técnico de Integración</w:t>
      </w:r>
      <w:r>
        <w:t xml:space="preserve"> </w:t>
      </w:r>
      <w:r>
        <w:t xml:space="preserve">Social en Andalucía. En consecuencia,</w:t>
      </w:r>
      <w:r>
        <w:t xml:space="preserve"> </w:t>
      </w:r>
      <w:r>
        <w:rPr>
          <w:b/>
        </w:rPr>
        <w:t xml:space="preserve">no cabe oponer al administrado un estándar que no existe</w:t>
      </w:r>
      <w:r>
        <w:rPr>
          <w:b/>
        </w:rPr>
        <w:t xml:space="preserve"> </w:t>
      </w:r>
      <w:r>
        <w:rPr>
          <w:b/>
        </w:rPr>
        <w:t xml:space="preserve">ni ha sido publicado</w:t>
      </w:r>
      <w:r>
        <w:t xml:space="preserve">, y toda decisión de dotación descansa en criterios internos que, por serlo,</w:t>
      </w:r>
      <w:r>
        <w:t xml:space="preserve"> </w:t>
      </w:r>
      <w:r>
        <w:rPr>
          <w:b/>
        </w:rPr>
        <w:t xml:space="preserve">deben explicitarse y motivarse</w:t>
      </w:r>
      <w:r>
        <w:t xml:space="preserve"> </w:t>
      </w:r>
      <w:r>
        <w:t xml:space="preserve">conforme al artículo 35 de la Ley 39/2015.</w:t>
      </w:r>
    </w:p>
    <w:p>
      <w:pPr>
        <w:pStyle w:val="BodyText"/>
      </w:pPr>
      <w:r>
        <w:rPr>
          <w:b/>
        </w:rPr>
        <w:t xml:space="preserve">D.8 · El propio ordenamiento andaluz pondera doblemente al alumnado con NEE.</w:t>
      </w:r>
      <w:r>
        <w:t xml:space="preserve"> </w:t>
      </w:r>
      <w:r>
        <w:t xml:space="preserve">El</w:t>
      </w:r>
      <w:r>
        <w:t xml:space="preserve"> </w:t>
      </w:r>
      <w:r>
        <w:rPr>
          <w:b/>
        </w:rPr>
        <w:t xml:space="preserve">Acuerdo de 16 de julio de 2025</w:t>
      </w:r>
      <w:r>
        <w:t xml:space="preserve"> </w:t>
      </w:r>
      <w:r>
        <w:t xml:space="preserve">sobre mejora del sistema educativo y condiciones laborales</w:t>
      </w:r>
      <w:r>
        <w:t xml:space="preserve"> </w:t>
      </w:r>
      <w:r>
        <w:t xml:space="preserve">del personal docente no universitario de Andalucía, publicado por Resolución de 15 de octubre de</w:t>
      </w:r>
      <w:r>
        <w:t xml:space="preserve"> </w:t>
      </w:r>
      <w:r>
        <w:t xml:space="preserve">2025 (</w:t>
      </w:r>
      <w:r>
        <w:rPr>
          <w:b/>
        </w:rPr>
        <w:t xml:space="preserve">BOJA núm. 203, de 22 de octubre de 2025</w:t>
      </w:r>
      <w:r>
        <w:t xml:space="preserve">), establece en su Medida 5 que, a efectos de</w:t>
      </w:r>
      <w:r>
        <w:t xml:space="preserve"> </w:t>
      </w:r>
      <w:r>
        <w:t xml:space="preserve">asignación de cupos de refuerzo,</w:t>
      </w:r>
      <w:r>
        <w:t xml:space="preserve"> </w:t>
      </w:r>
      <w:r>
        <w:rPr>
          <w:b/>
        </w:rPr>
        <w:t xml:space="preserve">cada alumno o alumna con necesidades educativas especiales</w:t>
      </w:r>
      <w:r>
        <w:rPr>
          <w:b/>
        </w:rPr>
        <w:t xml:space="preserve"> </w:t>
      </w:r>
      <w:r>
        <w:rPr>
          <w:b/>
        </w:rPr>
        <w:t xml:space="preserve">computa como dos alumnos</w:t>
      </w:r>
      <w:r>
        <w:t xml:space="preserve">; y en su Medida 6 un</w:t>
      </w:r>
      <w:r>
        <w:t xml:space="preserve"> </w:t>
      </w:r>
      <w:r>
        <w:rPr>
          <w:b/>
        </w:rPr>
        <w:t xml:space="preserve">incremento neto de 520 cupos de Educación</w:t>
      </w:r>
      <w:r>
        <w:rPr>
          <w:b/>
        </w:rPr>
        <w:t xml:space="preserve"> </w:t>
      </w:r>
      <w:r>
        <w:rPr>
          <w:b/>
        </w:rPr>
        <w:t xml:space="preserve">Especial</w:t>
      </w:r>
      <w:r>
        <w:t xml:space="preserve">, a razón de 130 anuales desde el curso 2025/2026. La propia Administración reconoce</w:t>
      </w:r>
      <w:r>
        <w:t xml:space="preserve"> </w:t>
      </w:r>
      <w:r>
        <w:t xml:space="preserve">así, en instrumento publicado, que este alumnado requiere una intensidad de recursos superior.</w:t>
      </w:r>
    </w:p>
    <w:p>
      <w:pPr>
        <w:pStyle w:val="BodyText"/>
      </w:pPr>
      <w:r>
        <w:rPr>
          <w:b/>
        </w:rPr>
        <w:t xml:space="preserve">D.9 · Asignar formalmente no es atender. Lo dice el órgano estatutario de garantía.</w:t>
      </w:r>
      <w:r>
        <w:t xml:space="preserve"> </w:t>
      </w:r>
      <w:r>
        <w:t xml:space="preserve">La</w:t>
      </w:r>
      <w:r>
        <w:t xml:space="preserve"> </w:t>
      </w:r>
      <w:r>
        <w:rPr>
          <w:b/>
        </w:rPr>
        <w:t xml:space="preserve">Defensoría de la Infancia y Adolescencia de Andalucía</w:t>
      </w:r>
      <w:r>
        <w:t xml:space="preserve">, en su Informe Anual 2023 (capítulo</w:t>
      </w:r>
      <w:r>
        <w:t xml:space="preserve"> </w:t>
      </w:r>
      <w:r>
        <w:t xml:space="preserve">de Educación), constata:</w:t>
      </w:r>
    </w:p>
    <w:p>
      <w:pPr>
        <w:pStyle w:val="BlockText"/>
      </w:pPr>
      <w:r>
        <w:rPr>
          <w:i/>
        </w:rPr>
        <w:t xml:space="preserve">“</w:t>
      </w:r>
      <w:r>
        <w:rPr>
          <w:i/>
        </w:rPr>
        <w:t xml:space="preserve">Continuamos recibiendo un destacable número de quejas por la escasez o ausencia de</w:t>
      </w:r>
      <w:r>
        <w:rPr>
          <w:i/>
        </w:rPr>
        <w:t xml:space="preserve"> </w:t>
      </w:r>
      <w:r>
        <w:rPr>
          <w:i/>
        </w:rPr>
        <w:t xml:space="preserve">profesionales para la debida atención del alumnado con necesidades educativas especiales.</w:t>
      </w:r>
      <w:r>
        <w:rPr>
          <w:i/>
        </w:rPr>
        <w:t xml:space="preserve">”</w:t>
      </w:r>
    </w:p>
    <w:p>
      <w:pPr>
        <w:pStyle w:val="BlockText"/>
      </w:pPr>
      <w:r>
        <w:rPr>
          <w:i/>
        </w:rPr>
        <w:t xml:space="preserve">“</w:t>
      </w:r>
      <w:r>
        <w:rPr>
          <w:i/>
        </w:rPr>
        <w:t xml:space="preserve">Volvemos a constatar que, por ejemplo, asignar el servicio de Audición y Lenguaje (AL) no es</w:t>
      </w:r>
      <w:r>
        <w:rPr>
          <w:i/>
        </w:rPr>
        <w:t xml:space="preserve"> </w:t>
      </w:r>
      <w:r>
        <w:rPr>
          <w:i/>
        </w:rPr>
        <w:t xml:space="preserve">garantía de atención si ese profesional disemina su apretada jornada recorriendo centros.</w:t>
      </w:r>
      <w:r>
        <w:rPr>
          <w:i/>
        </w:rPr>
        <w:t xml:space="preserve">”</w:t>
      </w:r>
    </w:p>
    <w:p>
      <w:pPr>
        <w:pStyle w:val="BlockText"/>
      </w:pPr>
      <w:r>
        <w:rPr>
          <w:i/>
        </w:rPr>
        <w:t xml:space="preserve">“</w:t>
      </w:r>
      <w:r>
        <w:rPr>
          <w:i/>
        </w:rPr>
        <w:t xml:space="preserve">Los monitores o Personal Técnico de Integración Social (PTIS) se asignan formalmente en un</w:t>
      </w:r>
      <w:r>
        <w:rPr>
          <w:i/>
        </w:rPr>
        <w:t xml:space="preserve"> </w:t>
      </w:r>
      <w:r>
        <w:rPr>
          <w:i/>
        </w:rPr>
        <w:t xml:space="preserve">compendio de horarios y jornadas que resultan en muchas ocasiones incompatibles con la realidad</w:t>
      </w:r>
      <w:r>
        <w:rPr>
          <w:i/>
        </w:rPr>
        <w:t xml:space="preserve"> </w:t>
      </w:r>
      <w:r>
        <w:rPr>
          <w:i/>
        </w:rPr>
        <w:t xml:space="preserve">de sus tareas cotidianas.</w:t>
      </w:r>
      <w:r>
        <w:rPr>
          <w:i/>
        </w:rPr>
        <w:t xml:space="preserve">”</w:t>
      </w:r>
    </w:p>
    <w:p>
      <w:pPr>
        <w:pStyle w:val="FirstParagraph"/>
      </w:pPr>
      <w:r>
        <w:rPr>
          <w:b/>
        </w:rPr>
        <w:t xml:space="preserve">Uso:</w:t>
      </w:r>
      <w:r>
        <w:t xml:space="preserve"> </w:t>
      </w:r>
      <w:r>
        <w:t xml:space="preserve">neutraliza de antemano la respuesta estándar de la Administración, que consiste en</w:t>
      </w:r>
      <w:r>
        <w:t xml:space="preserve"> </w:t>
      </w:r>
      <w:r>
        <w:t xml:space="preserve">reproducir la relación de puestos asignados al centro.</w:t>
      </w:r>
      <w:r>
        <w:t xml:space="preserve"> </w:t>
      </w:r>
      <w:r>
        <w:rPr>
          <w:b/>
        </w:rPr>
        <w:t xml:space="preserve">La pregunta pertinente no es cuántos</w:t>
      </w:r>
      <w:r>
        <w:rPr>
          <w:b/>
        </w:rPr>
        <w:t xml:space="preserve"> </w:t>
      </w:r>
      <w:r>
        <w:rPr>
          <w:b/>
        </w:rPr>
        <w:t xml:space="preserve">profesionales figuran asignados, sino cuántas horas efectivas recibe el alumno.</w:t>
      </w:r>
      <w:r>
        <w:t xml:space="preserve"> </w:t>
      </w:r>
      <w:r>
        <w:t xml:space="preserve">Por eso todos</w:t>
      </w:r>
      <w:r>
        <w:t xml:space="preserve"> </w:t>
      </w:r>
      <w:r>
        <w:t xml:space="preserve">los petita de este expediente piden</w:t>
      </w:r>
      <w:r>
        <w:t xml:space="preserve"> </w:t>
      </w:r>
      <w:r>
        <w:rPr>
          <w:b/>
        </w:rPr>
        <w:t xml:space="preserve">horas semanales</w:t>
      </w:r>
      <w:r>
        <w:t xml:space="preserve">, no dotaciones nominales.</w:t>
      </w:r>
    </w:p>
    <w:p>
      <w:pPr>
        <w:pStyle w:val="Heading2"/>
      </w:pPr>
      <w:bookmarkStart w:id="35" w:name="X58d2a79423780cbf888a7eab09824bd5dc5f9f4"/>
      <w:r>
        <w:t xml:space="preserve">E. EL PETITUM SUBSIDIARIO — texto solemne, para copiar literalmente</w:t>
      </w:r>
      <w:bookmarkEnd w:id="35"/>
    </w:p>
    <w:p>
      <w:pPr>
        <w:pStyle w:val="BlockText"/>
      </w:pPr>
      <w:r>
        <w:rPr>
          <w:b/>
        </w:rPr>
        <w:t xml:space="preserve">SEGUNDO.— SUBSIDIARIAMENTE</w:t>
      </w:r>
      <w:r>
        <w:t xml:space="preserve">, y para el caso de que no se acceda a lo interesado en el</w:t>
      </w:r>
      <w:r>
        <w:t xml:space="preserve"> </w:t>
      </w:r>
      <w:r>
        <w:t xml:space="preserve">apartado precedente, que</w:t>
      </w:r>
      <w:r>
        <w:t xml:space="preserve"> </w:t>
      </w:r>
      <w:r>
        <w:rPr>
          <w:b/>
        </w:rPr>
        <w:t xml:space="preserve">con carácter previo a cualquier resolución denegatoria</w:t>
      </w:r>
      <w:r>
        <w:t xml:space="preserve"> </w:t>
      </w:r>
      <w:r>
        <w:t xml:space="preserve">se</w:t>
      </w:r>
      <w:r>
        <w:t xml:space="preserve"> </w:t>
      </w:r>
      <w:r>
        <w:t xml:space="preserve">practique y se documente por escrito el</w:t>
      </w:r>
      <w:r>
        <w:t xml:space="preserve"> </w:t>
      </w:r>
      <w:r>
        <w:rPr>
          <w:b/>
        </w:rPr>
        <w:t xml:space="preserve">JUICIO DE PROPORCIONALIDAD DEL AJUSTE RAZONABLE</w:t>
      </w:r>
      <w:r>
        <w:t xml:space="preserve"> </w:t>
      </w:r>
      <w:r>
        <w:t xml:space="preserve">exigido por los artículos 2 y 24.2, letras c), d) y e), de la Convención Internacional sobre</w:t>
      </w:r>
      <w:r>
        <w:t xml:space="preserve"> </w:t>
      </w:r>
      <w:r>
        <w:t xml:space="preserve">los Derechos de las Personas con Discapacidad, de aplicación directa en España conforme a los</w:t>
      </w:r>
      <w:r>
        <w:t xml:space="preserve"> </w:t>
      </w:r>
      <w:r>
        <w:t xml:space="preserve">artículos 29 a 31 de la Ley 25/2014, haciendo constar en la resolución, de forma</w:t>
      </w:r>
      <w:r>
        <w:t xml:space="preserve"> </w:t>
      </w:r>
      <w:r>
        <w:rPr>
          <w:b/>
        </w:rPr>
        <w:t xml:space="preserve">expresa,</w:t>
      </w:r>
      <w:r>
        <w:rPr>
          <w:b/>
        </w:rPr>
        <w:t xml:space="preserve"> </w:t>
      </w:r>
      <w:r>
        <w:rPr>
          <w:b/>
        </w:rPr>
        <w:t xml:space="preserve">individualizada y cuantificada</w:t>
      </w:r>
      <w:r>
        <w:t xml:space="preserve">, los siguientes extremos:</w:t>
      </w:r>
    </w:p>
    <w:p>
      <w:pPr>
        <w:pStyle w:val="BlockText"/>
      </w:pPr>
      <w:r>
        <w:rPr>
          <w:b/>
        </w:rPr>
        <w:t xml:space="preserve">a)</w:t>
      </w:r>
      <w:r>
        <w:t xml:space="preserve"> </w:t>
      </w:r>
      <w:r>
        <w:t xml:space="preserve">Las necesidades educativas del alumno que esta Administración reconoce como acreditadas,</w:t>
      </w:r>
      <w:r>
        <w:t xml:space="preserve"> </w:t>
      </w:r>
      <w:r>
        <w:t xml:space="preserve">con cita del documento en que constan y de su fecha.</w:t>
      </w:r>
    </w:p>
    <w:p>
      <w:pPr>
        <w:pStyle w:val="BlockText"/>
      </w:pPr>
      <w:r>
        <w:rPr>
          <w:b/>
        </w:rPr>
        <w:t xml:space="preserve">b)</w:t>
      </w:r>
      <w:r>
        <w:t xml:space="preserve"> </w:t>
      </w:r>
      <w:r>
        <w:t xml:space="preserve">El recurso personal que resultaría idóneo para atenderlas, con expresión de su tipología</w:t>
      </w:r>
      <w:r>
        <w:t xml:space="preserve"> </w:t>
      </w:r>
      <w:r>
        <w:t xml:space="preserve">—Pedagogía Terapéutica, Audición y Lenguaje, Personal Técnico de Integración Social u otro— y</w:t>
      </w:r>
      <w:r>
        <w:t xml:space="preserve"> </w:t>
      </w:r>
      <w:r>
        <w:t xml:space="preserve">del</w:t>
      </w:r>
      <w:r>
        <w:t xml:space="preserve"> </w:t>
      </w:r>
      <w:r>
        <w:rPr>
          <w:b/>
        </w:rPr>
        <w:t xml:space="preserve">número de horas semanales</w:t>
      </w:r>
      <w:r>
        <w:t xml:space="preserve"> </w:t>
      </w:r>
      <w:r>
        <w:t xml:space="preserve">que su atención requeriría.</w:t>
      </w:r>
    </w:p>
    <w:p>
      <w:pPr>
        <w:pStyle w:val="BlockText"/>
      </w:pPr>
      <w:r>
        <w:rPr>
          <w:b/>
        </w:rPr>
        <w:t xml:space="preserve">c)</w:t>
      </w:r>
      <w:r>
        <w:t xml:space="preserve"> </w:t>
      </w:r>
      <w:r>
        <w:t xml:space="preserve">La dotación realmente existente de dicho recurso en el centro y en la zona educativa,</w:t>
      </w:r>
      <w:r>
        <w:t xml:space="preserve"> </w:t>
      </w:r>
      <w:r>
        <w:t xml:space="preserve">con expresión de las</w:t>
      </w:r>
      <w:r>
        <w:t xml:space="preserve"> </w:t>
      </w:r>
      <w:r>
        <w:rPr>
          <w:b/>
        </w:rPr>
        <w:t xml:space="preserve">horas asignadas, las efectivamente prestadas y las vacantes o refuerzos</w:t>
      </w:r>
      <w:r>
        <w:rPr>
          <w:b/>
        </w:rPr>
        <w:t xml:space="preserve"> </w:t>
      </w:r>
      <w:r>
        <w:rPr>
          <w:b/>
        </w:rPr>
        <w:t xml:space="preserve">disponibles</w:t>
      </w:r>
      <w:r>
        <w:t xml:space="preserve">.</w:t>
      </w:r>
    </w:p>
    <w:p>
      <w:pPr>
        <w:pStyle w:val="BlockText"/>
      </w:pPr>
      <w:r>
        <w:rPr>
          <w:b/>
        </w:rPr>
        <w:t xml:space="preserve">d)</w:t>
      </w:r>
      <w:r>
        <w:t xml:space="preserve"> </w:t>
      </w:r>
      <w:r>
        <w:t xml:space="preserve">La razón precisa por la cual la provisión de dicho recurso constituiría una</w:t>
      </w:r>
      <w:r>
        <w:t xml:space="preserve"> </w:t>
      </w:r>
      <w:r>
        <w:rPr>
          <w:b/>
        </w:rPr>
        <w:t xml:space="preserve">carga</w:t>
      </w:r>
      <w:r>
        <w:rPr>
          <w:b/>
        </w:rPr>
        <w:t xml:space="preserve"> </w:t>
      </w:r>
      <w:r>
        <w:rPr>
          <w:b/>
        </w:rPr>
        <w:t xml:space="preserve">desproporcionada o indebida</w:t>
      </w:r>
      <w:r>
        <w:t xml:space="preserve"> </w:t>
      </w:r>
      <w:r>
        <w:t xml:space="preserve">para esta Administración, con expresión de su</w:t>
      </w:r>
      <w:r>
        <w:t xml:space="preserve"> </w:t>
      </w:r>
      <w:r>
        <w:rPr>
          <w:b/>
        </w:rPr>
        <w:t xml:space="preserve">coste estimado</w:t>
      </w:r>
      <w:r>
        <w:t xml:space="preserve"> </w:t>
      </w:r>
      <w:r>
        <w:t xml:space="preserve">y de la relación de ese coste</w:t>
      </w:r>
      <w:r>
        <w:t xml:space="preserve"> </w:t>
      </w:r>
      <w:r>
        <w:rPr>
          <w:b/>
        </w:rPr>
        <w:t xml:space="preserve">con la totalidad de los recursos destinados a educación en el</w:t>
      </w:r>
      <w:r>
        <w:rPr>
          <w:b/>
        </w:rPr>
        <w:t xml:space="preserve"> </w:t>
      </w:r>
      <w:r>
        <w:rPr>
          <w:b/>
        </w:rPr>
        <w:t xml:space="preserve">ámbito territorial correspondiente</w:t>
      </w:r>
      <w:r>
        <w:t xml:space="preserve">, y no únicamente con la partida específica de atención a</w:t>
      </w:r>
      <w:r>
        <w:t xml:space="preserve"> </w:t>
      </w:r>
      <w:r>
        <w:t xml:space="preserve">la diversidad, conforme al estándar fijado por el Tribunal Europeo de Derechos Humanos en el</w:t>
      </w:r>
      <w:r>
        <w:t xml:space="preserve"> </w:t>
      </w:r>
      <w:r>
        <w:t xml:space="preserve">asunto</w:t>
      </w:r>
      <w:r>
        <w:t xml:space="preserve"> </w:t>
      </w:r>
      <w:r>
        <w:rPr>
          <w:i/>
        </w:rPr>
        <w:t xml:space="preserve">G.L. c. Italia</w:t>
      </w:r>
      <w:r>
        <w:t xml:space="preserve"> </w:t>
      </w:r>
      <w:r>
        <w:t xml:space="preserve">(demanda núm. 59751/15, sentencia de 10 de septiembre de 2020).</w:t>
      </w:r>
    </w:p>
    <w:p>
      <w:pPr>
        <w:pStyle w:val="BlockText"/>
      </w:pPr>
      <w:r>
        <w:rPr>
          <w:b/>
        </w:rPr>
        <w:t xml:space="preserve">e)</w:t>
      </w:r>
      <w:r>
        <w:t xml:space="preserve"> </w:t>
      </w:r>
      <w:r>
        <w:t xml:space="preserve">Las</w:t>
      </w:r>
      <w:r>
        <w:t xml:space="preserve"> </w:t>
      </w:r>
      <w:r>
        <w:rPr>
          <w:b/>
        </w:rPr>
        <w:t xml:space="preserve">medidas alternativas</w:t>
      </w:r>
      <w:r>
        <w:t xml:space="preserve"> </w:t>
      </w:r>
      <w:r>
        <w:t xml:space="preserve">examinadas para atender la necesidad acreditada y el motivo</w:t>
      </w:r>
      <w:r>
        <w:t xml:space="preserve"> </w:t>
      </w:r>
      <w:r>
        <w:t xml:space="preserve">concreto por el que cada una de ellas ha sido descartada.</w:t>
      </w:r>
    </w:p>
    <w:p>
      <w:pPr>
        <w:pStyle w:val="BlockText"/>
      </w:pPr>
      <w:r>
        <w:rPr>
          <w:b/>
        </w:rPr>
        <w:t xml:space="preserve">f)</w:t>
      </w:r>
      <w:r>
        <w:t xml:space="preserve"> </w:t>
      </w:r>
      <w:r>
        <w:t xml:space="preserve">En el caso de que la denegación se funde en indisponibilidad coyuntural y no en</w:t>
      </w:r>
      <w:r>
        <w:t xml:space="preserve"> </w:t>
      </w:r>
      <w:r>
        <w:t xml:space="preserve">improcedencia, la</w:t>
      </w:r>
      <w:r>
        <w:t xml:space="preserve"> </w:t>
      </w:r>
      <w:r>
        <w:rPr>
          <w:b/>
        </w:rPr>
        <w:t xml:space="preserve">previsión temporal concreta</w:t>
      </w:r>
      <w:r>
        <w:t xml:space="preserve"> </w:t>
      </w:r>
      <w:r>
        <w:t xml:space="preserve">de provisión del recurso y el compromiso de</w:t>
      </w:r>
      <w:r>
        <w:t xml:space="preserve"> </w:t>
      </w:r>
      <w:r>
        <w:t xml:space="preserve">comunicación a esta parte.</w:t>
      </w:r>
    </w:p>
    <w:p>
      <w:pPr>
        <w:pStyle w:val="BlockText"/>
      </w:pPr>
      <w:r>
        <w:t xml:space="preserve">Se hace constar expresamente, a los efectos oportunos, que conforme a la doctrina del Tribunal</w:t>
      </w:r>
      <w:r>
        <w:t xml:space="preserve"> </w:t>
      </w:r>
      <w:r>
        <w:t xml:space="preserve">Constitucional (STC 10/2014, FJ 4) la Administración</w:t>
      </w:r>
      <w:r>
        <w:t xml:space="preserve"> </w:t>
      </w:r>
      <w:r>
        <w:rPr>
          <w:b/>
        </w:rPr>
        <w:t xml:space="preserve">“</w:t>
      </w:r>
      <w:r>
        <w:rPr>
          <w:b/>
        </w:rPr>
        <w:t xml:space="preserve">deberá exteriorizar los motivos</w:t>
      </w:r>
      <w:r>
        <w:rPr>
          <w:b/>
        </w:rPr>
        <w:t xml:space="preserve">”</w:t>
      </w:r>
      <w:r>
        <w:t xml:space="preserve"> </w:t>
      </w:r>
      <w:r>
        <w:t xml:space="preserve">de</w:t>
      </w:r>
      <w:r>
        <w:t xml:space="preserve"> </w:t>
      </w:r>
      <w:r>
        <w:t xml:space="preserve">la decisión, y que conforme a la doctrina del Tribunal Supremo (sentencia de 14 de diciembre de</w:t>
      </w:r>
      <w:r>
        <w:t xml:space="preserve"> </w:t>
      </w:r>
      <w:r>
        <w:t xml:space="preserve">2017, recurso de casación 2965/2016) le incumbe</w:t>
      </w:r>
      <w:r>
        <w:t xml:space="preserve"> </w:t>
      </w:r>
      <w:r>
        <w:rPr>
          <w:b/>
        </w:rPr>
        <w:t xml:space="preserve">“</w:t>
      </w:r>
      <w:r>
        <w:rPr>
          <w:b/>
        </w:rPr>
        <w:t xml:space="preserve">justificar con todo rigor</w:t>
      </w:r>
      <w:r>
        <w:rPr>
          <w:b/>
        </w:rPr>
        <w:t xml:space="preserve">”</w:t>
      </w:r>
      <w:r>
        <w:t xml:space="preserve"> </w:t>
      </w:r>
      <w:r>
        <w:t xml:space="preserve">la</w:t>
      </w:r>
      <w:r>
        <w:t xml:space="preserve"> </w:t>
      </w:r>
      <w:r>
        <w:t xml:space="preserve">imposibilidad de prestar los apoyos en el centro ordinario. Una resolución denegatoria que</w:t>
      </w:r>
      <w:r>
        <w:t xml:space="preserve"> </w:t>
      </w:r>
      <w:r>
        <w:t xml:space="preserve">omita cualquiera de los extremos enumerados en las letras a) a f) incurriría en</w:t>
      </w:r>
      <w:r>
        <w:t xml:space="preserve"> </w:t>
      </w:r>
      <w:r>
        <w:rPr>
          <w:b/>
        </w:rPr>
        <w:t xml:space="preserve">falta de</w:t>
      </w:r>
      <w:r>
        <w:rPr>
          <w:b/>
        </w:rPr>
        <w:t xml:space="preserve"> </w:t>
      </w:r>
      <w:r>
        <w:rPr>
          <w:b/>
        </w:rPr>
        <w:t xml:space="preserve">motivación</w:t>
      </w:r>
      <w:r>
        <w:t xml:space="preserve"> </w:t>
      </w:r>
      <w:r>
        <w:t xml:space="preserve">a los efectos del artículo 35 de la Ley 39/2015 y, conforme al párrafo 30 de la</w:t>
      </w:r>
      <w:r>
        <w:t xml:space="preserve"> </w:t>
      </w:r>
      <w:r>
        <w:t xml:space="preserve">Observación General nº 4 del Comité sobre los Derechos de las Personas con Discapacidad, la</w:t>
      </w:r>
      <w:r>
        <w:t xml:space="preserve"> </w:t>
      </w:r>
      <w:r>
        <w:t xml:space="preserve">denegación de ajustes razonables</w:t>
      </w:r>
      <w:r>
        <w:t xml:space="preserve"> </w:t>
      </w:r>
      <w:r>
        <w:rPr>
          <w:b/>
        </w:rPr>
        <w:t xml:space="preserve">“</w:t>
      </w:r>
      <w:r>
        <w:rPr>
          <w:b/>
        </w:rPr>
        <w:t xml:space="preserve">constituye un acto de discriminación</w:t>
      </w:r>
      <w:r>
        <w:rPr>
          <w:b/>
        </w:rPr>
        <w:t xml:space="preserve">”</w:t>
      </w:r>
      <w:r>
        <w:t xml:space="preserve">, con las</w:t>
      </w:r>
      <w:r>
        <w:t xml:space="preserve"> </w:t>
      </w:r>
      <w:r>
        <w:t xml:space="preserve">consecuencias que de ello se derivan en el orden constitucional y en el internacional.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6" w:name="Xa1f2097d1513a8b2a04921a018592be16825891"/>
      <w:r>
        <w:t xml:space="preserve">F. EL OTROSÍ DE LA FIGURA ALTERNATIVA — texto para copiar</w:t>
      </w:r>
      <w:bookmarkEnd w:id="36"/>
    </w:p>
    <w:p>
      <w:pPr>
        <w:pStyle w:val="BlockText"/>
      </w:pPr>
      <w:r>
        <w:rPr>
          <w:b/>
        </w:rPr>
        <w:t xml:space="preserve">OTROSÍ DIGO:</w:t>
      </w:r>
      <w:r>
        <w:t xml:space="preserve"> </w:t>
      </w:r>
      <w:r>
        <w:t xml:space="preserve">Que esta parte es consciente de que la provisión estructural de los recursos</w:t>
      </w:r>
      <w:r>
        <w:t xml:space="preserve"> </w:t>
      </w:r>
      <w:r>
        <w:t xml:space="preserve">públicos interesados puede requerir un plazo de tramitación presupuestaria y de planificación</w:t>
      </w:r>
      <w:r>
        <w:t xml:space="preserve"> </w:t>
      </w:r>
      <w:r>
        <w:t xml:space="preserve">educativa. Ahora bien, el derecho del menor se ejerce</w:t>
      </w:r>
      <w:r>
        <w:t xml:space="preserve"> </w:t>
      </w:r>
      <w:r>
        <w:rPr>
          <w:b/>
        </w:rPr>
        <w:t xml:space="preserve">en el curso escolar en que se le</w:t>
      </w:r>
      <w:r>
        <w:rPr>
          <w:b/>
        </w:rPr>
        <w:t xml:space="preserve"> </w:t>
      </w:r>
      <w:r>
        <w:rPr>
          <w:b/>
        </w:rPr>
        <w:t xml:space="preserve">reconoce</w:t>
      </w:r>
      <w:r>
        <w:t xml:space="preserve">, y un curso perdido no se recupera. Por ello,</w:t>
      </w:r>
      <w:r>
        <w:t xml:space="preserve"> </w:t>
      </w:r>
      <w:r>
        <w:rPr>
          <w:b/>
        </w:rPr>
        <w:t xml:space="preserve">y sin perjuicio de lo solicitado con</w:t>
      </w:r>
      <w:r>
        <w:rPr>
          <w:b/>
        </w:rPr>
        <w:t xml:space="preserve"> </w:t>
      </w:r>
      <w:r>
        <w:rPr>
          <w:b/>
        </w:rPr>
        <w:t xml:space="preserve">carácter principal</w:t>
      </w:r>
      <w:r>
        <w:t xml:space="preserve">, se interesa que esa Administración</w:t>
      </w:r>
      <w:r>
        <w:t xml:space="preserve"> </w:t>
      </w:r>
      <w:r>
        <w:rPr>
          <w:b/>
        </w:rPr>
        <w:t xml:space="preserve">habilite una medida puente de</w:t>
      </w:r>
      <w:r>
        <w:rPr>
          <w:b/>
        </w:rPr>
        <w:t xml:space="preserve"> </w:t>
      </w:r>
      <w:r>
        <w:rPr>
          <w:b/>
        </w:rPr>
        <w:t xml:space="preserve">aplicación inmediata</w:t>
      </w:r>
      <w:r>
        <w:t xml:space="preserve"> </w:t>
      </w:r>
      <w:r>
        <w:t xml:space="preserve">que garantice la atención del alumno durante el tiempo que medie hasta la</w:t>
      </w:r>
      <w:r>
        <w:t xml:space="preserve"> </w:t>
      </w:r>
      <w:r>
        <w:t xml:space="preserve">provisión definitiva, por cualquiera de las vías que resulten procedentes y, entre otras:</w:t>
      </w:r>
    </w:p>
    <w:p>
      <w:pPr>
        <w:pStyle w:val="BlockText"/>
      </w:pPr>
      <w:r>
        <w:rPr>
          <w:b/>
        </w:rPr>
        <w:t xml:space="preserve">1.ª</w:t>
      </w:r>
      <w:r>
        <w:t xml:space="preserve"> </w:t>
      </w:r>
      <w:r>
        <w:t xml:space="preserve">La asignación provisional de horas de Personal Técnico de Integración Social o de</w:t>
      </w:r>
      <w:r>
        <w:t xml:space="preserve"> </w:t>
      </w:r>
      <w:r>
        <w:t xml:space="preserve">profesorado especialista, con cargo a los refuerzos o a la bolsa de sustituciones.</w:t>
      </w:r>
    </w:p>
    <w:p>
      <w:pPr>
        <w:pStyle w:val="BlockText"/>
      </w:pPr>
      <w:r>
        <w:rPr>
          <w:b/>
        </w:rPr>
        <w:t xml:space="preserve">2.ª</w:t>
      </w:r>
      <w:r>
        <w:t xml:space="preserve"> </w:t>
      </w:r>
      <w:r>
        <w:t xml:space="preserve">La habilitación transitoria de la figura de apoyo en aula que esa Administración ha</w:t>
      </w:r>
      <w:r>
        <w:t xml:space="preserve"> </w:t>
      </w:r>
      <w:r>
        <w:t xml:space="preserve">venido admitiendo en cursos anteriores,</w:t>
      </w:r>
      <w:r>
        <w:t xml:space="preserve"> </w:t>
      </w:r>
      <w:r>
        <w:rPr>
          <w:b/>
        </w:rPr>
        <w:t xml:space="preserve">para todo el alumnado que ya la viniera recibiendo,</w:t>
      </w:r>
      <w:r>
        <w:rPr>
          <w:b/>
        </w:rPr>
        <w:t xml:space="preserve"> </w:t>
      </w:r>
      <w:r>
        <w:rPr>
          <w:b/>
        </w:rPr>
        <w:t xml:space="preserve">con independencia de la entidad a través de la cual se canalizara y de que esta estuviera o no</w:t>
      </w:r>
      <w:r>
        <w:rPr>
          <w:b/>
        </w:rPr>
        <w:t xml:space="preserve"> </w:t>
      </w:r>
      <w:r>
        <w:rPr>
          <w:b/>
        </w:rPr>
        <w:t xml:space="preserve">federada</w:t>
      </w:r>
      <w:r>
        <w:t xml:space="preserve">, circunstancia esta última que es ajena al menor, que no consta exigida por norma</w:t>
      </w:r>
      <w:r>
        <w:t xml:space="preserve"> </w:t>
      </w:r>
      <w:r>
        <w:t xml:space="preserve">alguna publicada y que, por tanto, no puede oponerse a esta parte.</w:t>
      </w:r>
    </w:p>
    <w:p>
      <w:pPr>
        <w:pStyle w:val="BlockText"/>
      </w:pPr>
      <w:r>
        <w:rPr>
          <w:b/>
        </w:rPr>
        <w:t xml:space="preserve">3.ª</w:t>
      </w:r>
      <w:r>
        <w:t xml:space="preserve"> </w:t>
      </w:r>
      <w:r>
        <w:t xml:space="preserve">Cualquier otra medida de efecto equivalente que esa Administración estime procedente,</w:t>
      </w:r>
      <w:r>
        <w:t xml:space="preserve"> </w:t>
      </w:r>
      <w:r>
        <w:rPr>
          <w:b/>
        </w:rPr>
        <w:t xml:space="preserve">cuya adopción o cuyo rechazo motivado se interesa igualmente que se haga constar por escrito</w:t>
      </w:r>
      <w:r>
        <w:t xml:space="preserve">.</w:t>
      </w:r>
    </w:p>
    <w:p>
      <w:pPr>
        <w:pStyle w:val="BlockText"/>
      </w:pPr>
      <w:r>
        <w:t xml:space="preserve">Se hace constar que el Comité sobre los Derechos de las Personas con Discapacidad ha declarado</w:t>
      </w:r>
      <w:r>
        <w:t xml:space="preserve"> </w:t>
      </w:r>
      <w:r>
        <w:t xml:space="preserve">que el deber de realizar el ajuste razonable</w:t>
      </w:r>
      <w:r>
        <w:t xml:space="preserve"> </w:t>
      </w:r>
      <w:r>
        <w:rPr>
          <w:b/>
        </w:rPr>
        <w:t xml:space="preserve">“</w:t>
      </w:r>
      <w:r>
        <w:rPr>
          <w:b/>
        </w:rPr>
        <w:t xml:space="preserve">es ejecutable desde el momento en el que es</w:t>
      </w:r>
      <w:r>
        <w:rPr>
          <w:b/>
        </w:rPr>
        <w:t xml:space="preserve"> </w:t>
      </w:r>
      <w:r>
        <w:rPr>
          <w:b/>
        </w:rPr>
        <w:t xml:space="preserve">demandado</w:t>
      </w:r>
      <w:r>
        <w:rPr>
          <w:b/>
        </w:rPr>
        <w:t xml:space="preserve">”</w:t>
      </w:r>
      <w:r>
        <w:t xml:space="preserve"> </w:t>
      </w:r>
      <w:r>
        <w:t xml:space="preserve">(Observación General nº 4, párrafo 27), de modo que la pendencia de una reforma</w:t>
      </w:r>
      <w:r>
        <w:t xml:space="preserve"> </w:t>
      </w:r>
      <w:r>
        <w:t xml:space="preserve">estructural no suspende la exigibilidad del apoyo en el caso concreto.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7" w:name="X48687826cf1683efc765503ce3bf38cdca035eb"/>
      <w:r>
        <w:t xml:space="preserve">G. LA CLÁUSULA DE CIERRE — texto para copiar</w:t>
      </w:r>
      <w:bookmarkEnd w:id="37"/>
    </w:p>
    <w:p>
      <w:pPr>
        <w:pStyle w:val="BlockText"/>
      </w:pPr>
      <w:r>
        <w:rPr>
          <w:b/>
        </w:rPr>
        <w:t xml:space="preserve">OTROSÍ SEGUNDO DIGO:</w:t>
      </w:r>
      <w:r>
        <w:t xml:space="preserve"> </w:t>
      </w:r>
      <w:r>
        <w:t xml:space="preserve">Que se interesa expresamente que la resolución que recaiga sea</w:t>
      </w:r>
      <w:r>
        <w:t xml:space="preserve"> </w:t>
      </w:r>
      <w:r>
        <w:rPr>
          <w:b/>
        </w:rPr>
        <w:t xml:space="preserve">expresa, motivada y notificada</w:t>
      </w:r>
      <w:r>
        <w:t xml:space="preserve"> </w:t>
      </w:r>
      <w:r>
        <w:t xml:space="preserve">a esta parte, conforme a los artículos 21 y 35 de la Ley</w:t>
      </w:r>
      <w:r>
        <w:t xml:space="preserve"> </w:t>
      </w:r>
      <w:r>
        <w:t xml:space="preserve">39/2015, de 1 de octubre, con indicación de los recursos procedentes, órgano ante el que</w:t>
      </w:r>
      <w:r>
        <w:t xml:space="preserve"> </w:t>
      </w:r>
      <w:r>
        <w:t xml:space="preserve">interponerlos y plazo para ello; y se designa como medio preferente de notificación el</w:t>
      </w:r>
      <w:r>
        <w:t xml:space="preserve"> </w:t>
      </w:r>
      <w:r>
        <w:t xml:space="preserve">siguiente:</w:t>
      </w:r>
      <w:r>
        <w:t xml:space="preserve"> </w:t>
      </w:r>
      <w:r>
        <w:rPr>
          <w:b/>
        </w:rPr>
        <w:t xml:space="preserve">[CORREO ELECTRÓNICO] / [DIRECCIÓN POSTAL]</w:t>
      </w:r>
      <w:r>
        <w:t xml:space="preserve">.</w:t>
      </w:r>
    </w:p>
    <w:p>
      <w:pPr>
        <w:pStyle w:val="BlockText"/>
      </w:pPr>
      <w:r>
        <w:rPr>
          <w:b/>
        </w:rPr>
        <w:t xml:space="preserve">OTROSÍ TERCERO DIGO:</w:t>
      </w:r>
      <w:r>
        <w:t xml:space="preserve"> </w:t>
      </w:r>
      <w:r>
        <w:t xml:space="preserve">Que al amparo del artículo 53.1.a) de la Ley 39/2015 se interesa el</w:t>
      </w:r>
      <w:r>
        <w:t xml:space="preserve"> </w:t>
      </w:r>
      <w:r>
        <w:rPr>
          <w:b/>
        </w:rPr>
        <w:t xml:space="preserve">acceso y la obtención de copia</w:t>
      </w:r>
      <w:r>
        <w:t xml:space="preserve"> </w:t>
      </w:r>
      <w:r>
        <w:t xml:space="preserve">de cuantos informes, dictámenes y documentos obren en el</w:t>
      </w:r>
      <w:r>
        <w:t xml:space="preserve"> </w:t>
      </w:r>
      <w:r>
        <w:t xml:space="preserve">expediente del alumno, y singularmente del informe de evaluación psicopedagógica y del dictamen</w:t>
      </w:r>
      <w:r>
        <w:t xml:space="preserve"> </w:t>
      </w:r>
      <w:r>
        <w:t xml:space="preserve">de escolarización vigentes, así como de cuantas instrucciones, circulares o comunicaciones</w:t>
      </w:r>
      <w:r>
        <w:t xml:space="preserve"> </w:t>
      </w:r>
      <w:r>
        <w:t xml:space="preserve">internas hayan determinado la decisión que se cuestiona.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8" w:name="h.-checklist-antes-de-presentar-nada"/>
      <w:r>
        <w:t xml:space="preserve">H. CHECKLIST ANTES DE PRESENTAR NADA</w:t>
      </w:r>
      <w:bookmarkEnd w:id="38"/>
    </w:p>
    <w:p>
      <w:pPr>
        <w:numPr>
          <w:ilvl w:val="0"/>
          <w:numId w:val="1004"/>
        </w:numPr>
        <w:pStyle w:val="Compact"/>
      </w:pPr>
      <w:r>
        <w:t xml:space="preserve">☒</w:t>
      </w:r>
      <w:r>
        <w:t xml:space="preserve"> </w:t>
      </w:r>
      <w:r>
        <w:rPr>
          <w:b/>
        </w:rPr>
        <w:t xml:space="preserve">Verificación de jurisprudencia cerrada [2026-09-18]</w:t>
      </w:r>
      <w:r>
        <w:t xml:space="preserve"> </w:t>
      </w:r>
      <w:r>
        <w:t xml:space="preserve">— informe en</w:t>
      </w:r>
      <w:r>
        <w:t xml:space="preserve"> </w:t>
      </w:r>
      <w:r>
        <w:rPr>
          <w:rStyle w:val="VerbatimChar"/>
        </w:rPr>
        <w:t xml:space="preserve">corpus/2026-09-18_DR1_verificacion-jurisprudencia-CENDOJ.md</w:t>
      </w:r>
      <w:r>
        <w:t xml:space="preserve">. Las tres referencias existen;</w:t>
      </w:r>
      <w:r>
        <w:t xml:space="preserve"> </w:t>
      </w:r>
      <w:r>
        <w:t xml:space="preserve">dos llevaban datos erróneos y están corregidas arriba.</w:t>
      </w:r>
      <w:r>
        <w:t xml:space="preserve"> </w:t>
      </w:r>
      <w:r>
        <w:rPr>
          <w:b/>
        </w:rPr>
        <w:t xml:space="preserve">No usar citas de versiones</w:t>
      </w:r>
      <w:r>
        <w:rPr>
          <w:b/>
        </w:rPr>
        <w:t xml:space="preserve"> </w:t>
      </w:r>
      <w:r>
        <w:rPr>
          <w:b/>
        </w:rPr>
        <w:t xml:space="preserve">anteriores de este documento.</w:t>
      </w:r>
    </w:p>
    <w:p>
      <w:pPr>
        <w:numPr>
          <w:ilvl w:val="0"/>
          <w:numId w:val="1004"/>
        </w:numPr>
        <w:pStyle w:val="Compact"/>
      </w:pPr>
      <w:r>
        <w:t xml:space="preserve">☐ Comprobar que</w:t>
      </w:r>
      <w:r>
        <w:t xml:space="preserve"> </w:t>
      </w:r>
      <w:r>
        <w:rPr>
          <w:b/>
        </w:rPr>
        <w:t xml:space="preserve">en ningún escrito se usa la palabra</w:t>
      </w:r>
      <w:r>
        <w:rPr>
          <w:b/>
        </w:rPr>
        <w:t xml:space="preserve"> </w:t>
      </w:r>
      <w:r>
        <w:rPr>
          <w:b/>
        </w:rPr>
        <w:t xml:space="preserve">“</w:t>
      </w:r>
      <w:r>
        <w:rPr>
          <w:b/>
        </w:rPr>
        <w:t xml:space="preserve">petición</w:t>
      </w:r>
      <w:r>
        <w:rPr>
          <w:b/>
        </w:rPr>
        <w:t xml:space="preserve">”</w:t>
      </w:r>
      <w:r>
        <w:t xml:space="preserve"> </w:t>
      </w:r>
      <w:r>
        <w:t xml:space="preserve">como calificación</w:t>
      </w:r>
      <w:r>
        <w:t xml:space="preserve"> </w:t>
      </w:r>
      <w:r>
        <w:t xml:space="preserve">(silencio negativo).</w:t>
      </w:r>
    </w:p>
    <w:p>
      <w:pPr>
        <w:numPr>
          <w:ilvl w:val="0"/>
          <w:numId w:val="1004"/>
        </w:numPr>
        <w:pStyle w:val="Compact"/>
      </w:pPr>
      <w:r>
        <w:t xml:space="preserve">☐ Comprobar que</w:t>
      </w:r>
      <w:r>
        <w:t xml:space="preserve"> </w:t>
      </w:r>
      <w:r>
        <w:rPr>
          <w:b/>
        </w:rPr>
        <w:t xml:space="preserve">la STC 10/2014 se cita como doctrina y no como estimación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☐ Comprobar que</w:t>
      </w:r>
      <w:r>
        <w:t xml:space="preserve"> </w:t>
      </w:r>
      <w:r>
        <w:rPr>
          <w:b/>
        </w:rPr>
        <w:t xml:space="preserve">ningún escrito público contiene datos del menor ni de la asistente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☐ Presentar por registro y</w:t>
      </w:r>
      <w:r>
        <w:t xml:space="preserve"> </w:t>
      </w:r>
      <w:r>
        <w:rPr>
          <w:b/>
        </w:rPr>
        <w:t xml:space="preserve">conservar el justificante con fecha y hora de asiento</w:t>
      </w:r>
      <w:r>
        <w:t xml:space="preserve">: es lo</w:t>
      </w:r>
      <w:r>
        <w:t xml:space="preserve"> </w:t>
      </w:r>
      <w:r>
        <w:t xml:space="preserve">que fija el cómputo del plazo del art. 21.4 de la Ley 39/2015.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71315dca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2026-09-17T23:57:59Z</dcterms:created>
  <dcterms:modified xsi:type="dcterms:W3CDTF">2026-09-17T23:57:59Z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